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7C" w:rsidRDefault="009A447C" w:rsidP="009A447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ANEXO</w:t>
      </w:r>
    </w:p>
    <w:p w:rsidR="009A447C" w:rsidRDefault="009A447C" w:rsidP="009A447C">
      <w:pPr>
        <w:rPr>
          <w:rFonts w:ascii="Arial" w:hAnsi="Arial" w:cs="Arial"/>
          <w:b/>
          <w:sz w:val="22"/>
        </w:rPr>
      </w:pPr>
    </w:p>
    <w:p w:rsidR="009A447C" w:rsidRPr="00333433" w:rsidRDefault="009A447C" w:rsidP="009A447C">
      <w:pPr>
        <w:jc w:val="center"/>
        <w:rPr>
          <w:rFonts w:ascii="Arial" w:hAnsi="Arial" w:cs="Arial"/>
          <w:b/>
          <w:sz w:val="22"/>
        </w:rPr>
      </w:pPr>
      <w:r w:rsidRPr="00333433">
        <w:rPr>
          <w:rFonts w:ascii="Arial" w:hAnsi="Arial" w:cs="Arial"/>
          <w:b/>
          <w:iCs/>
          <w:sz w:val="22"/>
        </w:rPr>
        <w:t xml:space="preserve">CIRCULAR Nº </w:t>
      </w:r>
      <w:r w:rsidR="00A16333">
        <w:rPr>
          <w:rFonts w:ascii="Arial" w:hAnsi="Arial" w:cs="Arial"/>
          <w:b/>
          <w:iCs/>
          <w:sz w:val="22"/>
        </w:rPr>
        <w:t>337</w:t>
      </w:r>
      <w:r w:rsidRPr="00333433">
        <w:rPr>
          <w:rFonts w:ascii="Arial" w:hAnsi="Arial" w:cs="Arial"/>
          <w:b/>
          <w:iCs/>
          <w:sz w:val="22"/>
        </w:rPr>
        <w:t>-201</w:t>
      </w:r>
      <w:r>
        <w:rPr>
          <w:rFonts w:ascii="Arial" w:hAnsi="Arial" w:cs="Arial"/>
          <w:b/>
          <w:iCs/>
          <w:sz w:val="22"/>
        </w:rPr>
        <w:t>9</w:t>
      </w:r>
      <w:r w:rsidRPr="00333433">
        <w:rPr>
          <w:rFonts w:ascii="Arial" w:hAnsi="Arial" w:cs="Arial"/>
          <w:b/>
          <w:iCs/>
          <w:sz w:val="22"/>
        </w:rPr>
        <w:t>-SMV/11</w:t>
      </w:r>
    </w:p>
    <w:p w:rsidR="009A447C" w:rsidRDefault="009A447C" w:rsidP="009A447C">
      <w:pPr>
        <w:rPr>
          <w:rFonts w:ascii="Arial" w:hAnsi="Arial" w:cs="Arial"/>
          <w:b/>
          <w:sz w:val="22"/>
        </w:rPr>
      </w:pPr>
    </w:p>
    <w:tbl>
      <w:tblPr>
        <w:tblW w:w="9221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46"/>
        <w:gridCol w:w="2630"/>
        <w:gridCol w:w="4577"/>
      </w:tblGrid>
      <w:tr w:rsidR="009A447C" w:rsidRPr="00201694" w:rsidTr="00844DA1">
        <w:trPr>
          <w:trHeight w:val="376"/>
        </w:trPr>
        <w:tc>
          <w:tcPr>
            <w:tcW w:w="1668" w:type="dxa"/>
            <w:shd w:val="clear" w:color="auto" w:fill="auto"/>
          </w:tcPr>
          <w:p w:rsidR="009A447C" w:rsidRPr="001F218A" w:rsidRDefault="009A447C" w:rsidP="009F2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Razón Social del Emisor</w:t>
            </w:r>
          </w:p>
        </w:tc>
        <w:tc>
          <w:tcPr>
            <w:tcW w:w="346" w:type="dxa"/>
          </w:tcPr>
          <w:p w:rsidR="009A447C" w:rsidRPr="001F218A" w:rsidRDefault="009A447C" w:rsidP="009F2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A447C" w:rsidRPr="00321525" w:rsidRDefault="00844DA1" w:rsidP="009F2A41">
            <w:pPr>
              <w:rPr>
                <w:rFonts w:ascii="Arial" w:hAnsi="Arial" w:cs="Arial"/>
                <w:sz w:val="20"/>
                <w:szCs w:val="20"/>
              </w:rPr>
            </w:pPr>
            <w:r w:rsidRPr="00A5401A">
              <w:rPr>
                <w:rFonts w:ascii="Arial" w:hAnsi="Arial" w:cs="Arial"/>
                <w:b/>
                <w:sz w:val="20"/>
                <w:szCs w:val="20"/>
              </w:rPr>
              <w:t>VOLCAN COMPAÑÍA MINERA S.A.A</w:t>
            </w:r>
          </w:p>
        </w:tc>
      </w:tr>
      <w:tr w:rsidR="009A447C" w:rsidRPr="00201694" w:rsidTr="00844DA1">
        <w:trPr>
          <w:trHeight w:val="275"/>
        </w:trPr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9A447C" w:rsidRPr="001F218A" w:rsidRDefault="009A447C" w:rsidP="009F2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nil"/>
            </w:tcBorders>
          </w:tcPr>
          <w:p w:rsidR="009A447C" w:rsidRDefault="009A447C" w:rsidP="009F2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447C" w:rsidRPr="001F218A" w:rsidRDefault="009A447C" w:rsidP="009F2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447C" w:rsidRPr="00201694" w:rsidTr="00844DA1">
        <w:trPr>
          <w:trHeight w:val="286"/>
        </w:trPr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9A447C" w:rsidRPr="001F218A" w:rsidRDefault="009A447C" w:rsidP="009F2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46" w:type="dxa"/>
            <w:tcBorders>
              <w:bottom w:val="nil"/>
            </w:tcBorders>
          </w:tcPr>
          <w:p w:rsidR="009A447C" w:rsidRPr="001F218A" w:rsidRDefault="009A447C" w:rsidP="009F2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30" w:type="dxa"/>
            <w:tcBorders>
              <w:bottom w:val="single" w:sz="12" w:space="0" w:color="auto"/>
            </w:tcBorders>
            <w:shd w:val="clear" w:color="auto" w:fill="auto"/>
          </w:tcPr>
          <w:p w:rsidR="009A447C" w:rsidRPr="001F218A" w:rsidRDefault="00844DA1" w:rsidP="00844DA1">
            <w:pPr>
              <w:ind w:right="-4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de noviembre de 2018</w:t>
            </w:r>
          </w:p>
        </w:tc>
        <w:tc>
          <w:tcPr>
            <w:tcW w:w="4576" w:type="dxa"/>
            <w:tcBorders>
              <w:bottom w:val="nil"/>
            </w:tcBorders>
            <w:shd w:val="clear" w:color="auto" w:fill="auto"/>
          </w:tcPr>
          <w:p w:rsidR="009A447C" w:rsidRPr="001F218A" w:rsidRDefault="009A447C" w:rsidP="009F2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447C" w:rsidRDefault="009A447C" w:rsidP="009A447C">
      <w:pPr>
        <w:rPr>
          <w:rFonts w:ascii="Arial" w:hAnsi="Arial" w:cs="Arial"/>
          <w:b/>
          <w:sz w:val="22"/>
        </w:rPr>
      </w:pPr>
    </w:p>
    <w:p w:rsidR="009A447C" w:rsidRDefault="009A447C" w:rsidP="009A447C">
      <w:pPr>
        <w:rPr>
          <w:rFonts w:ascii="Arial" w:hAnsi="Arial" w:cs="Arial"/>
          <w:b/>
          <w:sz w:val="22"/>
        </w:rPr>
      </w:pPr>
    </w:p>
    <w:p w:rsidR="009A447C" w:rsidRDefault="009A447C" w:rsidP="009A447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Indicaciones:</w:t>
      </w:r>
    </w:p>
    <w:p w:rsidR="009A447C" w:rsidRPr="00F80272" w:rsidRDefault="009A447C" w:rsidP="009A447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</w:t>
      </w:r>
      <w:r w:rsidRPr="00275AC8">
        <w:rPr>
          <w:rFonts w:ascii="Arial" w:hAnsi="Arial" w:cs="Arial"/>
          <w:sz w:val="20"/>
        </w:rPr>
        <w:t xml:space="preserve">ara cumplir con el fin del presente requerimiento </w:t>
      </w:r>
      <w:r>
        <w:rPr>
          <w:rFonts w:ascii="Arial" w:hAnsi="Arial" w:cs="Arial"/>
          <w:sz w:val="20"/>
        </w:rPr>
        <w:t>e</w:t>
      </w:r>
      <w:r w:rsidRPr="00275AC8">
        <w:rPr>
          <w:rFonts w:ascii="Arial" w:hAnsi="Arial" w:cs="Arial"/>
          <w:sz w:val="20"/>
        </w:rPr>
        <w:t xml:space="preserve">s necesario completar </w:t>
      </w:r>
      <w:r w:rsidRPr="005447EC">
        <w:rPr>
          <w:rFonts w:ascii="Arial" w:hAnsi="Arial" w:cs="Arial"/>
          <w:sz w:val="20"/>
        </w:rPr>
        <w:t>en formato Microsoft Word</w:t>
      </w:r>
      <w:r w:rsidRPr="00275AC8">
        <w:rPr>
          <w:rFonts w:ascii="Arial" w:hAnsi="Arial" w:cs="Arial"/>
          <w:sz w:val="20"/>
        </w:rPr>
        <w:t xml:space="preserve"> todos </w:t>
      </w:r>
      <w:r>
        <w:rPr>
          <w:rFonts w:ascii="Arial" w:hAnsi="Arial" w:cs="Arial"/>
          <w:sz w:val="20"/>
        </w:rPr>
        <w:t xml:space="preserve">con todos </w:t>
      </w:r>
      <w:r w:rsidRPr="00275AC8">
        <w:rPr>
          <w:rFonts w:ascii="Arial" w:hAnsi="Arial" w:cs="Arial"/>
          <w:sz w:val="20"/>
        </w:rPr>
        <w:t>los datos o información del formulario. Únicamente</w:t>
      </w:r>
      <w:r>
        <w:rPr>
          <w:rFonts w:ascii="Arial" w:hAnsi="Arial" w:cs="Arial"/>
          <w:sz w:val="20"/>
        </w:rPr>
        <w:t xml:space="preserve"> puede omitirse el llenado de </w:t>
      </w:r>
      <w:r w:rsidRPr="00275AC8">
        <w:rPr>
          <w:rFonts w:ascii="Arial" w:hAnsi="Arial" w:cs="Arial"/>
          <w:sz w:val="20"/>
        </w:rPr>
        <w:t xml:space="preserve">las </w:t>
      </w:r>
      <w:r w:rsidRPr="00CD3B12">
        <w:rPr>
          <w:rFonts w:ascii="Arial" w:hAnsi="Arial" w:cs="Arial"/>
          <w:sz w:val="20"/>
        </w:rPr>
        <w:t>secciones “Comentarios o información adicional”.</w:t>
      </w:r>
    </w:p>
    <w:p w:rsidR="009A447C" w:rsidRDefault="009A447C" w:rsidP="009A447C">
      <w:pPr>
        <w:spacing w:before="4" w:after="4"/>
        <w:rPr>
          <w:rFonts w:ascii="Arial" w:hAnsi="Arial" w:cs="Arial"/>
          <w:b/>
          <w:sz w:val="22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2350EA" w:rsidRPr="00DE434E" w:rsidTr="00370F0A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2350EA" w:rsidRPr="00BB4517" w:rsidRDefault="00C43F4D" w:rsidP="00B87398">
            <w:pPr>
              <w:pStyle w:val="Prrafodelista"/>
              <w:numPr>
                <w:ilvl w:val="0"/>
                <w:numId w:val="6"/>
              </w:numPr>
              <w:spacing w:before="4" w:after="4" w:line="24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Considerando que </w:t>
            </w:r>
            <w:r w:rsidRPr="00C43F4D">
              <w:rPr>
                <w:rFonts w:ascii="Arial" w:hAnsi="Arial" w:cs="Arial"/>
                <w:sz w:val="20"/>
                <w:lang w:val="es-ES"/>
              </w:rPr>
              <w:t xml:space="preserve">el </w:t>
            </w:r>
            <w:r>
              <w:rPr>
                <w:rFonts w:ascii="Arial" w:hAnsi="Arial" w:cs="Arial"/>
                <w:sz w:val="20"/>
                <w:lang w:val="es-ES"/>
              </w:rPr>
              <w:t>G</w:t>
            </w:r>
            <w:r w:rsidRPr="00C43F4D">
              <w:rPr>
                <w:rFonts w:ascii="Arial" w:hAnsi="Arial" w:cs="Arial"/>
                <w:sz w:val="20"/>
                <w:lang w:val="es-ES"/>
              </w:rPr>
              <w:t xml:space="preserve">obierno </w:t>
            </w: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Pr="00C43F4D">
              <w:rPr>
                <w:rFonts w:ascii="Arial" w:hAnsi="Arial" w:cs="Arial"/>
                <w:sz w:val="20"/>
                <w:lang w:val="es-ES"/>
              </w:rPr>
              <w:t>orporativo: (1) Es el marco que gobierna los objetivos de una empresa que comprende la estrategia y gestión que va desde los planes de acción, ejecución de</w:t>
            </w:r>
            <w:r>
              <w:rPr>
                <w:rFonts w:ascii="Arial" w:hAnsi="Arial" w:cs="Arial"/>
                <w:sz w:val="20"/>
                <w:lang w:val="es-ES"/>
              </w:rPr>
              <w:t xml:space="preserve"> objetivos empresariales</w:t>
            </w:r>
            <w:r w:rsidRPr="00C43F4D">
              <w:rPr>
                <w:rFonts w:ascii="Arial" w:hAnsi="Arial" w:cs="Arial"/>
                <w:sz w:val="20"/>
                <w:lang w:val="es-ES"/>
              </w:rPr>
              <w:t xml:space="preserve">, controles internos, </w:t>
            </w:r>
            <w:r>
              <w:rPr>
                <w:rFonts w:ascii="Arial" w:hAnsi="Arial" w:cs="Arial"/>
                <w:sz w:val="20"/>
                <w:lang w:val="es-ES"/>
              </w:rPr>
              <w:t xml:space="preserve">gestión </w:t>
            </w:r>
            <w:r w:rsidRPr="00C43F4D">
              <w:rPr>
                <w:rFonts w:ascii="Arial" w:hAnsi="Arial" w:cs="Arial"/>
                <w:sz w:val="20"/>
                <w:lang w:val="es-ES"/>
              </w:rPr>
              <w:t>de riesgos, entre otros, hasta la medición de los resultados y la transparencia corporativa, (2) constituye el equ</w:t>
            </w:r>
            <w:r w:rsidR="00F232B6">
              <w:rPr>
                <w:rFonts w:ascii="Arial" w:hAnsi="Arial" w:cs="Arial"/>
                <w:sz w:val="20"/>
                <w:lang w:val="es-ES"/>
              </w:rPr>
              <w:t>ilibrio de los intereses de tod</w:t>
            </w:r>
            <w:r w:rsidR="00B87398">
              <w:rPr>
                <w:rFonts w:ascii="Arial" w:hAnsi="Arial" w:cs="Arial"/>
                <w:sz w:val="20"/>
                <w:lang w:val="es-ES"/>
              </w:rPr>
              <w:t>a</w:t>
            </w:r>
            <w:r w:rsidRPr="00C43F4D">
              <w:rPr>
                <w:rFonts w:ascii="Arial" w:hAnsi="Arial" w:cs="Arial"/>
                <w:sz w:val="20"/>
                <w:lang w:val="es-ES"/>
              </w:rPr>
              <w:t>s l</w:t>
            </w:r>
            <w:r w:rsidR="00B87398">
              <w:rPr>
                <w:rFonts w:ascii="Arial" w:hAnsi="Arial" w:cs="Arial"/>
                <w:sz w:val="20"/>
                <w:lang w:val="es-ES"/>
              </w:rPr>
              <w:t>a</w:t>
            </w:r>
            <w:r w:rsidRPr="00C43F4D">
              <w:rPr>
                <w:rFonts w:ascii="Arial" w:hAnsi="Arial" w:cs="Arial"/>
                <w:sz w:val="20"/>
                <w:lang w:val="es-ES"/>
              </w:rPr>
              <w:t xml:space="preserve">s </w:t>
            </w:r>
            <w:r w:rsidR="00B87398">
              <w:rPr>
                <w:rFonts w:ascii="Arial" w:hAnsi="Arial" w:cs="Arial"/>
                <w:sz w:val="20"/>
                <w:lang w:val="es-ES"/>
              </w:rPr>
              <w:t xml:space="preserve">partes </w:t>
            </w:r>
            <w:r w:rsidRPr="00C43F4D">
              <w:rPr>
                <w:rFonts w:ascii="Arial" w:hAnsi="Arial" w:cs="Arial"/>
                <w:sz w:val="20"/>
                <w:lang w:val="es-ES"/>
              </w:rPr>
              <w:t>(accionistas, trabajadores, clientes proveedores, gobierno y sociedad), (3) es elemento sustancial y complementario de la transparencia e integridad corporativa, (4) refleja el clima de respeto por la sociedad y por el medio ambiente; a los cuales éstos se encuentran expuestos, y (5) contribuye a mejorar la reputación y la generación de valor en la economía del país</w:t>
            </w:r>
            <w:r>
              <w:rPr>
                <w:rFonts w:ascii="Arial" w:hAnsi="Arial" w:cs="Arial"/>
                <w:sz w:val="20"/>
                <w:lang w:val="es-ES"/>
              </w:rPr>
              <w:t xml:space="preserve">; y que se refiere </w:t>
            </w:r>
            <w:r w:rsidR="000204CA">
              <w:rPr>
                <w:rFonts w:ascii="Arial" w:hAnsi="Arial" w:cs="Arial"/>
                <w:sz w:val="20"/>
                <w:lang w:val="es-ES"/>
              </w:rPr>
              <w:t>a aspectos internos de un Emisor</w:t>
            </w:r>
            <w:r w:rsidR="000204CA">
              <w:rPr>
                <w:rStyle w:val="Refdenotaalpie"/>
                <w:rFonts w:ascii="Arial" w:hAnsi="Arial" w:cs="Arial"/>
                <w:sz w:val="20"/>
                <w:lang w:val="es-ES"/>
              </w:rPr>
              <w:footnoteReference w:id="1"/>
            </w:r>
            <w:r w:rsidR="000204CA">
              <w:rPr>
                <w:rFonts w:ascii="Arial" w:hAnsi="Arial" w:cs="Arial"/>
                <w:sz w:val="20"/>
                <w:lang w:val="es-ES"/>
              </w:rPr>
              <w:t xml:space="preserve"> y que algunos de estos aspectos requieren del compromiso expreso y manifiesto del Directorio del Emisor</w:t>
            </w:r>
            <w:r w:rsidR="00771D94">
              <w:rPr>
                <w:rFonts w:ascii="Arial" w:hAnsi="Arial" w:cs="Arial"/>
                <w:sz w:val="20"/>
                <w:lang w:val="es-ES"/>
              </w:rPr>
              <w:t xml:space="preserve"> así como de la Junta General de Accionistas</w:t>
            </w:r>
            <w:r w:rsidR="000204CA">
              <w:rPr>
                <w:rFonts w:ascii="Arial" w:hAnsi="Arial" w:cs="Arial"/>
                <w:sz w:val="20"/>
                <w:lang w:val="es-ES"/>
              </w:rPr>
              <w:t>, informe:</w:t>
            </w:r>
          </w:p>
        </w:tc>
      </w:tr>
      <w:tr w:rsidR="00771D94" w:rsidRPr="00DE434E" w:rsidTr="00370F0A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771D94" w:rsidRDefault="00771D94" w:rsidP="00F232B6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993" w:hanging="426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De modo general explique </w:t>
            </w:r>
            <w:r w:rsidR="00F232B6">
              <w:rPr>
                <w:rFonts w:ascii="Arial" w:hAnsi="Arial" w:cs="Arial"/>
                <w:sz w:val="20"/>
                <w:lang w:val="es-ES"/>
              </w:rPr>
              <w:t xml:space="preserve">los mecanismos o acuerdos que ha adoptado la Junta General de Accionistas </w:t>
            </w:r>
            <w:r>
              <w:rPr>
                <w:rFonts w:ascii="Arial" w:hAnsi="Arial" w:cs="Arial"/>
                <w:sz w:val="20"/>
                <w:lang w:val="es-ES"/>
              </w:rPr>
              <w:t xml:space="preserve">para que los actos de la sociedad sean compatibles </w:t>
            </w:r>
            <w:r w:rsidR="00F232B6">
              <w:rPr>
                <w:rFonts w:ascii="Arial" w:hAnsi="Arial" w:cs="Arial"/>
                <w:sz w:val="20"/>
                <w:lang w:val="es-ES"/>
              </w:rPr>
              <w:t xml:space="preserve">y observen </w:t>
            </w:r>
            <w:r>
              <w:rPr>
                <w:rFonts w:ascii="Arial" w:hAnsi="Arial" w:cs="Arial"/>
                <w:sz w:val="20"/>
                <w:lang w:val="es-ES"/>
              </w:rPr>
              <w:t>l</w:t>
            </w:r>
            <w:r w:rsidR="00F232B6">
              <w:rPr>
                <w:rFonts w:ascii="Arial" w:hAnsi="Arial" w:cs="Arial"/>
                <w:sz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lang w:val="es-ES"/>
              </w:rPr>
              <w:t xml:space="preserve">s </w:t>
            </w:r>
            <w:r w:rsidR="00F232B6">
              <w:rPr>
                <w:rFonts w:ascii="Arial" w:hAnsi="Arial" w:cs="Arial"/>
                <w:sz w:val="20"/>
                <w:lang w:val="es-ES"/>
              </w:rPr>
              <w:t>principios o prácticas de Gobierno Corporativo.</w:t>
            </w:r>
          </w:p>
        </w:tc>
      </w:tr>
      <w:tr w:rsidR="00771D94" w:rsidRPr="00DE434E" w:rsidTr="00F232B6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771D94" w:rsidRDefault="00F232B6" w:rsidP="00771D94">
            <w:pPr>
              <w:pStyle w:val="Prrafodelista"/>
              <w:spacing w:before="4" w:after="4" w:line="240" w:lineRule="auto"/>
              <w:ind w:left="567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232B6" w:rsidRPr="00F232B6" w:rsidTr="007B6E59">
        <w:tc>
          <w:tcPr>
            <w:tcW w:w="5000" w:type="pct"/>
            <w:tcBorders>
              <w:bottom w:val="single" w:sz="4" w:space="0" w:color="000000"/>
            </w:tcBorders>
            <w:shd w:val="clear" w:color="auto" w:fill="FFFFFF"/>
          </w:tcPr>
          <w:p w:rsidR="00844DA1" w:rsidRPr="00A5401A" w:rsidRDefault="00844DA1" w:rsidP="00844DA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Entre los mecanismos o acuerdos que ha adoptado la Junta General de Accionistas para que los actos de la sociedad sean compatibles con las prácticas de Gobierno Corporativo están los siguientes:</w:t>
            </w:r>
          </w:p>
          <w:p w:rsidR="00844DA1" w:rsidRPr="00A5401A" w:rsidRDefault="00844DA1" w:rsidP="00844DA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1.- La sociedad cuenta con mecanismos de convocatoria que permiten establecer contacto con los accionistas, particularmente con aquellos que no tienen participación en el control o gestión de la sociedad. (La convocatoria se informa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32324D">
              <w:rPr>
                <w:rFonts w:ascii="Arial" w:hAnsi="Arial" w:cs="Arial"/>
                <w:sz w:val="20"/>
                <w:szCs w:val="20"/>
                <w:lang w:val="es-ES"/>
              </w:rPr>
              <w:t>mediante avisos en el diario oficial El Peruano y otro diario de circulación nacional, y</w:t>
            </w: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 xml:space="preserve"> a través del Portal del Mercado</w:t>
            </w:r>
            <w:r w:rsidR="005A1D82">
              <w:rPr>
                <w:rFonts w:ascii="Arial" w:hAnsi="Arial" w:cs="Arial"/>
                <w:sz w:val="20"/>
                <w:szCs w:val="20"/>
                <w:lang w:val="es-ES"/>
              </w:rPr>
              <w:t xml:space="preserve"> de Valores</w:t>
            </w: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5A1D8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44DA1" w:rsidRPr="00A5401A" w:rsidRDefault="00844DA1" w:rsidP="00844DA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2.- La sociedad pone a disposición de los accionistas toda la información relativa a los puntos contenidos en la agenda de la JGA y las propuestas de los acuerdos que se plantean adoptar.</w:t>
            </w:r>
          </w:p>
          <w:p w:rsidR="00F232B6" w:rsidRDefault="00F232B6" w:rsidP="00F232B6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71D94" w:rsidRPr="00DE434E" w:rsidTr="00370F0A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771D94" w:rsidRDefault="00F232B6" w:rsidP="00F232B6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993" w:hanging="426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Informe de manera general si los mecanismos o acuerdos a que se refiere el numeral precedente se encuentran documentados.</w:t>
            </w:r>
          </w:p>
        </w:tc>
      </w:tr>
      <w:tr w:rsidR="00F232B6" w:rsidRPr="00DE434E" w:rsidTr="00F232B6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F232B6" w:rsidRPr="00F232B6" w:rsidRDefault="00F232B6" w:rsidP="00F232B6">
            <w:pPr>
              <w:pStyle w:val="Prrafodelista"/>
              <w:spacing w:before="4" w:after="4" w:line="240" w:lineRule="auto"/>
              <w:ind w:left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F232B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F232B6" w:rsidRPr="00F232B6" w:rsidTr="007B6E59">
        <w:tc>
          <w:tcPr>
            <w:tcW w:w="5000" w:type="pct"/>
            <w:tcBorders>
              <w:bottom w:val="single" w:sz="4" w:space="0" w:color="000000"/>
            </w:tcBorders>
            <w:shd w:val="clear" w:color="auto" w:fill="FFFFFF"/>
          </w:tcPr>
          <w:p w:rsidR="00F232B6" w:rsidRDefault="00844DA1" w:rsidP="00844DA1">
            <w:pPr>
              <w:pStyle w:val="Prrafodelista"/>
              <w:ind w:left="993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Se deja constancia de las esquelas y de las comunicaciones enviadas</w:t>
            </w:r>
            <w:r w:rsidRPr="0032324D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registros de la </w:t>
            </w: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sociedad.</w:t>
            </w:r>
          </w:p>
        </w:tc>
      </w:tr>
      <w:tr w:rsidR="000204CA" w:rsidRPr="00DE434E" w:rsidTr="00370F0A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0204CA" w:rsidRDefault="000204CA" w:rsidP="00370F0A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993" w:hanging="426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 xml:space="preserve">De modo general explique de qué manera se ha comprometido el Directorio del Emisor </w:t>
            </w:r>
            <w:r w:rsidR="00B518A2">
              <w:rPr>
                <w:rFonts w:ascii="Arial" w:hAnsi="Arial" w:cs="Arial"/>
                <w:sz w:val="20"/>
                <w:lang w:val="es-ES"/>
              </w:rPr>
              <w:t xml:space="preserve">y/o sus Comités </w:t>
            </w:r>
            <w:r>
              <w:rPr>
                <w:rFonts w:ascii="Arial" w:hAnsi="Arial" w:cs="Arial"/>
                <w:sz w:val="20"/>
                <w:lang w:val="es-ES"/>
              </w:rPr>
              <w:t xml:space="preserve">con la adopción de las prácticas </w:t>
            </w:r>
            <w:r w:rsidR="00BF24FE">
              <w:rPr>
                <w:rFonts w:ascii="Arial" w:hAnsi="Arial" w:cs="Arial"/>
                <w:sz w:val="20"/>
                <w:lang w:val="es-ES"/>
              </w:rPr>
              <w:t>o principios d</w:t>
            </w:r>
            <w:r>
              <w:rPr>
                <w:rFonts w:ascii="Arial" w:hAnsi="Arial" w:cs="Arial"/>
                <w:sz w:val="20"/>
                <w:lang w:val="es-ES"/>
              </w:rPr>
              <w:t>el C</w:t>
            </w:r>
            <w:r w:rsidRPr="000204CA">
              <w:rPr>
                <w:rFonts w:ascii="Arial" w:hAnsi="Arial" w:cs="Arial"/>
                <w:sz w:val="20"/>
                <w:lang w:val="es-ES"/>
              </w:rPr>
              <w:t xml:space="preserve">ódigo de </w:t>
            </w:r>
            <w:r>
              <w:rPr>
                <w:rFonts w:ascii="Arial" w:hAnsi="Arial" w:cs="Arial"/>
                <w:sz w:val="20"/>
                <w:lang w:val="es-ES"/>
              </w:rPr>
              <w:t>B</w:t>
            </w:r>
            <w:r w:rsidRPr="000204CA">
              <w:rPr>
                <w:rFonts w:ascii="Arial" w:hAnsi="Arial" w:cs="Arial"/>
                <w:sz w:val="20"/>
                <w:lang w:val="es-ES"/>
              </w:rPr>
              <w:t xml:space="preserve">uen </w:t>
            </w:r>
            <w:r>
              <w:rPr>
                <w:rFonts w:ascii="Arial" w:hAnsi="Arial" w:cs="Arial"/>
                <w:sz w:val="20"/>
                <w:lang w:val="es-ES"/>
              </w:rPr>
              <w:t>G</w:t>
            </w:r>
            <w:r w:rsidRPr="000204CA">
              <w:rPr>
                <w:rFonts w:ascii="Arial" w:hAnsi="Arial" w:cs="Arial"/>
                <w:sz w:val="20"/>
                <w:lang w:val="es-ES"/>
              </w:rPr>
              <w:t xml:space="preserve">obierno </w:t>
            </w: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Pr="000204CA">
              <w:rPr>
                <w:rFonts w:ascii="Arial" w:hAnsi="Arial" w:cs="Arial"/>
                <w:sz w:val="20"/>
                <w:lang w:val="es-ES"/>
              </w:rPr>
              <w:t xml:space="preserve">orporativo para las </w:t>
            </w:r>
            <w:r>
              <w:rPr>
                <w:rFonts w:ascii="Arial" w:hAnsi="Arial" w:cs="Arial"/>
                <w:sz w:val="20"/>
                <w:lang w:val="es-ES"/>
              </w:rPr>
              <w:t>S</w:t>
            </w:r>
            <w:r w:rsidRPr="000204CA">
              <w:rPr>
                <w:rFonts w:ascii="Arial" w:hAnsi="Arial" w:cs="Arial"/>
                <w:sz w:val="20"/>
                <w:lang w:val="es-ES"/>
              </w:rPr>
              <w:t xml:space="preserve">ociedades </w:t>
            </w:r>
            <w:r>
              <w:rPr>
                <w:rFonts w:ascii="Arial" w:hAnsi="Arial" w:cs="Arial"/>
                <w:sz w:val="20"/>
                <w:lang w:val="es-ES"/>
              </w:rPr>
              <w:t>P</w:t>
            </w:r>
            <w:r w:rsidRPr="000204CA">
              <w:rPr>
                <w:rFonts w:ascii="Arial" w:hAnsi="Arial" w:cs="Arial"/>
                <w:sz w:val="20"/>
                <w:lang w:val="es-ES"/>
              </w:rPr>
              <w:t>eruanas</w:t>
            </w:r>
            <w:r w:rsidR="00BF24FE">
              <w:rPr>
                <w:rFonts w:ascii="Arial" w:hAnsi="Arial" w:cs="Arial"/>
                <w:sz w:val="20"/>
                <w:lang w:val="es-ES"/>
              </w:rPr>
              <w:t xml:space="preserve"> que se relacionan con las funciones del Directorio.</w:t>
            </w:r>
          </w:p>
        </w:tc>
      </w:tr>
      <w:tr w:rsidR="00771D94" w:rsidRPr="00DE434E" w:rsidTr="00370F0A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771D94" w:rsidRDefault="00771D94" w:rsidP="00771D94">
            <w:pPr>
              <w:pStyle w:val="Prrafodelista"/>
              <w:spacing w:before="4" w:after="4" w:line="240" w:lineRule="auto"/>
              <w:ind w:left="993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204CA" w:rsidRPr="002C40B5" w:rsidTr="00370F0A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0204CA" w:rsidRPr="00BB4517" w:rsidRDefault="000204CA" w:rsidP="00D54940">
            <w:pPr>
              <w:spacing w:before="4" w:after="4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204CA" w:rsidRPr="002C40B5" w:rsidTr="00370F0A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844DA1" w:rsidRPr="00A5401A" w:rsidRDefault="00844DA1" w:rsidP="005A1D82">
            <w:pPr>
              <w:pStyle w:val="Prrafodelista"/>
              <w:numPr>
                <w:ilvl w:val="0"/>
                <w:numId w:val="8"/>
              </w:numPr>
              <w:ind w:left="1440" w:hanging="42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El Directorio está conformado por personas con diferentes especialidades y competencias, de manera que en este haya pluralidad de enfoques y opiniones.</w:t>
            </w:r>
          </w:p>
          <w:p w:rsidR="00844DA1" w:rsidRPr="00A5401A" w:rsidRDefault="00844DA1" w:rsidP="005A1D82">
            <w:pPr>
              <w:pStyle w:val="Prrafodelista"/>
              <w:numPr>
                <w:ilvl w:val="0"/>
                <w:numId w:val="8"/>
              </w:numPr>
              <w:ind w:left="1440" w:hanging="42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 xml:space="preserve">El Directorio de la sociedad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 nombrado</w:t>
            </w: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 xml:space="preserve"> comités especiales que se enfocan en el análisis de los aspectos más relevantes para el desempeño de la sociedad. Estos son: el Comité Ejecutivo, Comité de Auditoría, Comité de Gestión Humana y Comité de Responsabilidad Social. </w:t>
            </w:r>
          </w:p>
          <w:p w:rsidR="00844DA1" w:rsidRPr="00844DA1" w:rsidRDefault="00844DA1" w:rsidP="005A1D82">
            <w:pPr>
              <w:pStyle w:val="Prrafodelista"/>
              <w:numPr>
                <w:ilvl w:val="0"/>
                <w:numId w:val="8"/>
              </w:numPr>
              <w:ind w:left="1440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El Directorio es el encargado de aprobar los reglamentos que rigen a cada uno de los comités especiales seña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lados en el párrafo precedente.</w:t>
            </w:r>
          </w:p>
          <w:p w:rsidR="000204CA" w:rsidRPr="00D54940" w:rsidRDefault="00844DA1" w:rsidP="005A1D82">
            <w:pPr>
              <w:pStyle w:val="Prrafodelista"/>
              <w:numPr>
                <w:ilvl w:val="0"/>
                <w:numId w:val="8"/>
              </w:numPr>
              <w:ind w:left="1440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 xml:space="preserve">La sociedad cuenta con un Código de Ética cuyo cumplimiento es exigible </w:t>
            </w:r>
            <w:r w:rsidR="005A1D82">
              <w:rPr>
                <w:rFonts w:ascii="Arial" w:hAnsi="Arial" w:cs="Arial"/>
                <w:sz w:val="20"/>
                <w:szCs w:val="20"/>
                <w:lang w:val="es-ES"/>
              </w:rPr>
              <w:t xml:space="preserve">también </w:t>
            </w: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a sus directores. Asimismo, es el Directorio el encargado de aprobar los programas de capacitación para el cumplimiento de dicho Código.</w:t>
            </w:r>
          </w:p>
        </w:tc>
      </w:tr>
      <w:tr w:rsidR="000204CA" w:rsidRPr="00DE434E" w:rsidTr="00370F0A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0204CA" w:rsidRDefault="00BF24FE" w:rsidP="00C6593A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993" w:hanging="426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Precise si el compromiso del Directorio del Emisor a que se refiere el numeral </w:t>
            </w:r>
            <w:r w:rsidR="00D54940" w:rsidRPr="00EE229D">
              <w:rPr>
                <w:rFonts w:ascii="Arial" w:hAnsi="Arial" w:cs="Arial"/>
                <w:sz w:val="20"/>
                <w:lang w:val="es-ES"/>
              </w:rPr>
              <w:t>1.</w:t>
            </w:r>
            <w:r w:rsidR="00C6593A" w:rsidRPr="00EE229D">
              <w:rPr>
                <w:rFonts w:ascii="Arial" w:hAnsi="Arial" w:cs="Arial"/>
                <w:sz w:val="20"/>
                <w:lang w:val="es-ES"/>
              </w:rPr>
              <w:t>3</w:t>
            </w:r>
            <w:r w:rsidR="00D54940" w:rsidRPr="00EE229D">
              <w:rPr>
                <w:rFonts w:ascii="Arial" w:hAnsi="Arial" w:cs="Arial"/>
                <w:sz w:val="20"/>
                <w:lang w:val="es-ES"/>
              </w:rPr>
              <w:t>.</w:t>
            </w:r>
            <w:r w:rsidR="00D54940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precedente se encuentra documentado y la fecha de aprobación por parte del Directorio de dicho documento.</w:t>
            </w:r>
          </w:p>
        </w:tc>
      </w:tr>
      <w:tr w:rsidR="000204CA" w:rsidRPr="002C40B5" w:rsidTr="00370F0A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0204CA" w:rsidRPr="00BB4517" w:rsidRDefault="000204CA" w:rsidP="00D54940">
            <w:pPr>
              <w:spacing w:before="4" w:after="4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204CA" w:rsidRPr="002C40B5" w:rsidTr="00370F0A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0204CA" w:rsidRPr="00D54940" w:rsidRDefault="005A1D82" w:rsidP="00844DA1">
            <w:pPr>
              <w:pStyle w:val="Prrafodelista"/>
              <w:ind w:left="993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compromiso del Directorio no se encuentra documentado.</w:t>
            </w:r>
          </w:p>
        </w:tc>
      </w:tr>
      <w:tr w:rsidR="000204CA" w:rsidRPr="00DE434E" w:rsidTr="00370F0A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0204CA" w:rsidRDefault="00D54940" w:rsidP="00C6593A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993" w:hanging="426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Precise si el compromiso del Directorio del Emisor a que se refiere el numeral </w:t>
            </w:r>
            <w:r w:rsidRPr="00EE229D">
              <w:rPr>
                <w:rFonts w:ascii="Arial" w:hAnsi="Arial" w:cs="Arial"/>
                <w:sz w:val="20"/>
                <w:lang w:val="es-ES"/>
              </w:rPr>
              <w:t>1.</w:t>
            </w:r>
            <w:r w:rsidR="00C6593A" w:rsidRPr="00EE229D">
              <w:rPr>
                <w:rFonts w:ascii="Arial" w:hAnsi="Arial" w:cs="Arial"/>
                <w:sz w:val="20"/>
                <w:lang w:val="es-ES"/>
              </w:rPr>
              <w:t>3</w:t>
            </w:r>
            <w:r w:rsidRPr="00EE229D">
              <w:rPr>
                <w:rFonts w:ascii="Arial" w:hAnsi="Arial" w:cs="Arial"/>
                <w:sz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lang w:val="es-ES"/>
              </w:rPr>
              <w:t xml:space="preserve"> precedente se encuentra disponible y visible en la página web del Emisor o en otros documentos de difusión.</w:t>
            </w:r>
          </w:p>
        </w:tc>
      </w:tr>
      <w:tr w:rsidR="00D54940" w:rsidRPr="002C40B5" w:rsidTr="007B6E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40" w:rsidRPr="00D54940" w:rsidRDefault="00D54940" w:rsidP="00D54940">
            <w:pPr>
              <w:spacing w:before="4" w:after="4"/>
              <w:ind w:firstLine="567"/>
              <w:rPr>
                <w:rFonts w:ascii="Arial" w:hAnsi="Arial" w:cs="Arial"/>
                <w:sz w:val="20"/>
                <w:szCs w:val="22"/>
              </w:rPr>
            </w:pPr>
            <w:r w:rsidRPr="00D54940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Respuesta:</w:t>
            </w:r>
          </w:p>
        </w:tc>
      </w:tr>
      <w:tr w:rsidR="00D54940" w:rsidRPr="002C40B5" w:rsidTr="007B6E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40" w:rsidRPr="00D54940" w:rsidRDefault="00844DA1" w:rsidP="00844DA1">
            <w:pPr>
              <w:pStyle w:val="Prrafodelista"/>
              <w:ind w:left="993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2324D">
              <w:rPr>
                <w:rFonts w:ascii="Arial" w:hAnsi="Arial" w:cs="Arial"/>
                <w:sz w:val="20"/>
                <w:szCs w:val="20"/>
                <w:lang w:val="es-ES"/>
              </w:rPr>
              <w:t>Se encuentra en los formularios de Buen Gobierno Corporativo q</w:t>
            </w:r>
            <w:r w:rsidRPr="00A5401A">
              <w:rPr>
                <w:rFonts w:ascii="Arial" w:hAnsi="Arial" w:cs="Arial"/>
                <w:sz w:val="20"/>
                <w:szCs w:val="20"/>
                <w:lang w:val="es-ES"/>
              </w:rPr>
              <w:t>ue están disponibles en la página web.</w:t>
            </w:r>
          </w:p>
        </w:tc>
      </w:tr>
      <w:tr w:rsidR="00771D94" w:rsidRPr="00DE434E" w:rsidTr="007B6E59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771D94" w:rsidRDefault="00F232B6" w:rsidP="005A1D82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1014" w:hanging="425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Considerando que el </w:t>
            </w:r>
            <w:r w:rsidR="000D06B0" w:rsidRPr="000D06B0">
              <w:rPr>
                <w:rFonts w:ascii="Arial" w:hAnsi="Arial" w:cs="Arial"/>
                <w:sz w:val="20"/>
                <w:lang w:val="es-ES"/>
              </w:rPr>
              <w:t xml:space="preserve">Reporte </w:t>
            </w:r>
            <w:r w:rsidR="000D06B0">
              <w:rPr>
                <w:rFonts w:ascii="Arial" w:hAnsi="Arial" w:cs="Arial"/>
                <w:sz w:val="20"/>
                <w:lang w:val="es-ES"/>
              </w:rPr>
              <w:t xml:space="preserve">Anual </w:t>
            </w:r>
            <w:r w:rsidR="000D06B0" w:rsidRPr="000D06B0">
              <w:rPr>
                <w:rFonts w:ascii="Arial" w:hAnsi="Arial" w:cs="Arial"/>
                <w:sz w:val="20"/>
                <w:lang w:val="es-ES"/>
              </w:rPr>
              <w:t>sobre el Cumplimiento del Código de Buen Gobierno Corporativo para las Sociedades Peruanas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0D06B0">
              <w:rPr>
                <w:rFonts w:ascii="Arial" w:hAnsi="Arial" w:cs="Arial"/>
                <w:sz w:val="20"/>
                <w:lang w:val="es-ES"/>
              </w:rPr>
              <w:t xml:space="preserve">se somete a la aprobación de la Junta General de Accionistas, informe </w:t>
            </w:r>
            <w:r w:rsidR="00771D94">
              <w:rPr>
                <w:rFonts w:ascii="Arial" w:hAnsi="Arial" w:cs="Arial"/>
                <w:sz w:val="20"/>
                <w:lang w:val="es-ES"/>
              </w:rPr>
              <w:t xml:space="preserve">qué </w:t>
            </w:r>
            <w:r w:rsidR="000D06B0">
              <w:rPr>
                <w:rFonts w:ascii="Arial" w:hAnsi="Arial" w:cs="Arial"/>
                <w:sz w:val="20"/>
                <w:lang w:val="es-ES"/>
              </w:rPr>
              <w:t>otros mecanismos o acciones se realizan con el fin de reportarle que los actos de la sociedad son compatibles y observan los principios o prácticas de Gobierno Corporativo, de ser el caso.</w:t>
            </w:r>
          </w:p>
        </w:tc>
      </w:tr>
      <w:tr w:rsidR="00771D94" w:rsidRPr="002C40B5" w:rsidTr="007B6E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D94" w:rsidRPr="00D54940" w:rsidRDefault="00771D94" w:rsidP="007B6E59">
            <w:pPr>
              <w:spacing w:before="4" w:after="4"/>
              <w:ind w:firstLine="567"/>
              <w:rPr>
                <w:rFonts w:ascii="Arial" w:hAnsi="Arial" w:cs="Arial"/>
                <w:sz w:val="20"/>
                <w:szCs w:val="22"/>
              </w:rPr>
            </w:pPr>
            <w:r w:rsidRPr="00D54940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Respuesta:</w:t>
            </w:r>
          </w:p>
        </w:tc>
      </w:tr>
      <w:tr w:rsidR="00771D94" w:rsidRPr="002C40B5" w:rsidTr="007B6E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D94" w:rsidRPr="00D54940" w:rsidRDefault="00110342" w:rsidP="00D54940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 aplica</w:t>
            </w:r>
          </w:p>
        </w:tc>
      </w:tr>
      <w:tr w:rsidR="00370F0A" w:rsidRPr="00DE434E" w:rsidTr="007B6E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F0A" w:rsidRDefault="00370F0A" w:rsidP="005A1D82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1014" w:hanging="425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70F0A">
              <w:rPr>
                <w:rFonts w:ascii="Arial" w:hAnsi="Arial" w:cs="Arial"/>
                <w:sz w:val="20"/>
                <w:szCs w:val="20"/>
                <w:lang w:val="es-ES"/>
              </w:rPr>
              <w:t>De manera particular precise si el compromiso del Directorio del Emisor con el Principio o Práctica 25</w:t>
            </w:r>
            <w:r w:rsidRPr="00370F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0F0A">
              <w:rPr>
                <w:rFonts w:ascii="Arial" w:hAnsi="Arial" w:cs="Arial"/>
                <w:i/>
                <w:sz w:val="20"/>
                <w:szCs w:val="20"/>
              </w:rPr>
              <w:t xml:space="preserve">“(…) </w:t>
            </w:r>
            <w:r w:rsidRPr="00370F0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 Directorio de la sociedad es responsable de la existencia de un sistema de control interno y externo, así como de supervisar su eficacia e idoneidad</w:t>
            </w:r>
            <w:r w:rsidRPr="00370F0A">
              <w:rPr>
                <w:rFonts w:ascii="Arial" w:hAnsi="Arial" w:cs="Arial"/>
                <w:i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lang w:val="es-ES"/>
              </w:rPr>
              <w:t>se encuentra documentado y la fecha de aprobación por parte del Directorio de dicho documento.</w:t>
            </w:r>
          </w:p>
        </w:tc>
      </w:tr>
      <w:tr w:rsidR="00370F0A" w:rsidRPr="002C40B5" w:rsidTr="007B6E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0A" w:rsidRPr="00370F0A" w:rsidRDefault="00370F0A" w:rsidP="00370F0A">
            <w:pPr>
              <w:pStyle w:val="Prrafodelista"/>
              <w:ind w:left="993" w:hanging="426"/>
              <w:jc w:val="both"/>
              <w:rPr>
                <w:rFonts w:ascii="Arial" w:hAnsi="Arial" w:cs="Arial"/>
                <w:b/>
                <w:sz w:val="20"/>
                <w:u w:val="single"/>
                <w:lang w:val="es-ES"/>
              </w:rPr>
            </w:pPr>
            <w:r w:rsidRPr="00370F0A">
              <w:rPr>
                <w:rFonts w:ascii="Arial" w:hAnsi="Arial" w:cs="Arial"/>
                <w:b/>
                <w:sz w:val="20"/>
                <w:u w:val="single"/>
                <w:lang w:val="es-ES"/>
              </w:rPr>
              <w:t>Respuesta:</w:t>
            </w:r>
          </w:p>
        </w:tc>
      </w:tr>
      <w:tr w:rsidR="00370F0A" w:rsidRPr="002C40B5" w:rsidTr="007B6E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342" w:rsidRPr="00110342" w:rsidRDefault="00110342" w:rsidP="005A1D82">
            <w:pPr>
              <w:pStyle w:val="Prrafodelista"/>
              <w:ind w:left="1014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10342">
              <w:rPr>
                <w:rFonts w:ascii="Arial" w:hAnsi="Arial" w:cs="Arial"/>
                <w:sz w:val="20"/>
                <w:lang w:val="es-ES"/>
              </w:rPr>
              <w:t>La Compañía tiene un sistema de control interno que es parte de las políticas y procedimientos de Auditoria Interna, las cuales fueron aprobadas por el Comité de Auditoria con fecha 24 de febrero de 2011.</w:t>
            </w:r>
          </w:p>
          <w:p w:rsidR="00370F0A" w:rsidRPr="00D54940" w:rsidRDefault="005A1D82" w:rsidP="005A1D82">
            <w:pPr>
              <w:pStyle w:val="Prrafodelista"/>
              <w:ind w:left="1014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10342">
              <w:rPr>
                <w:rFonts w:ascii="Arial" w:hAnsi="Arial" w:cs="Arial"/>
                <w:sz w:val="20"/>
                <w:lang w:val="es-ES"/>
              </w:rPr>
              <w:t>Asimismo</w:t>
            </w:r>
            <w:bookmarkStart w:id="0" w:name="_GoBack"/>
            <w:bookmarkEnd w:id="0"/>
            <w:r w:rsidR="00110342" w:rsidRPr="00110342">
              <w:rPr>
                <w:rFonts w:ascii="Arial" w:hAnsi="Arial" w:cs="Arial"/>
                <w:sz w:val="20"/>
                <w:lang w:val="es-ES"/>
              </w:rPr>
              <w:t xml:space="preserve">, el </w:t>
            </w:r>
            <w:r w:rsidR="008A506C">
              <w:rPr>
                <w:rFonts w:ascii="Arial" w:hAnsi="Arial" w:cs="Arial"/>
                <w:sz w:val="20"/>
                <w:lang w:val="es-ES"/>
              </w:rPr>
              <w:t xml:space="preserve">actual </w:t>
            </w:r>
            <w:r w:rsidR="00110342" w:rsidRPr="00110342">
              <w:rPr>
                <w:rFonts w:ascii="Arial" w:hAnsi="Arial" w:cs="Arial"/>
                <w:sz w:val="20"/>
                <w:lang w:val="es-ES"/>
              </w:rPr>
              <w:t>Comité de Auditoria fue nombrado en Sesión de Directori</w:t>
            </w:r>
            <w:r w:rsidR="008A506C">
              <w:rPr>
                <w:rFonts w:ascii="Arial" w:hAnsi="Arial" w:cs="Arial"/>
                <w:sz w:val="20"/>
                <w:lang w:val="es-ES"/>
              </w:rPr>
              <w:t>o de fecha 19 de febrero de 2019</w:t>
            </w:r>
            <w:r w:rsidR="00110342" w:rsidRPr="00110342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</w:tbl>
    <w:p w:rsidR="00370F0A" w:rsidRDefault="00370F0A" w:rsidP="009A447C">
      <w:pPr>
        <w:spacing w:before="4" w:after="4"/>
        <w:rPr>
          <w:rFonts w:ascii="Arial" w:hAnsi="Arial" w:cs="Arial"/>
          <w:b/>
          <w:sz w:val="2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3866"/>
      </w:tblGrid>
      <w:tr w:rsidR="00370F0A" w:rsidTr="001B1032">
        <w:trPr>
          <w:trHeight w:val="40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F0A" w:rsidRDefault="00370F0A" w:rsidP="007B6E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Información Adicional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F0A" w:rsidRDefault="00370F0A" w:rsidP="007B6E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Enlace web (*)</w:t>
            </w:r>
          </w:p>
        </w:tc>
      </w:tr>
      <w:tr w:rsidR="00370F0A" w:rsidTr="001B1032">
        <w:trPr>
          <w:trHeight w:val="1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A" w:rsidRPr="00370F0A" w:rsidRDefault="00370F0A" w:rsidP="005F03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567" w:right="28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0A">
              <w:rPr>
                <w:rFonts w:ascii="Arial" w:hAnsi="Arial" w:cs="Arial"/>
                <w:sz w:val="20"/>
                <w:szCs w:val="20"/>
              </w:rPr>
              <w:t>Compromiso del Directorio del Emisor a que se refiere el numeral 1.</w:t>
            </w:r>
            <w:r w:rsidR="005F03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A" w:rsidRDefault="00893D49" w:rsidP="007B6E59">
            <w:pPr>
              <w:autoSpaceDE w:val="0"/>
              <w:autoSpaceDN w:val="0"/>
              <w:adjustRightInd w:val="0"/>
              <w:spacing w:after="240"/>
              <w:ind w:right="-427"/>
              <w:rPr>
                <w:rFonts w:ascii="Arial" w:hAnsi="Arial" w:cs="Arial"/>
              </w:rPr>
            </w:pPr>
            <w:hyperlink r:id="rId8" w:history="1">
              <w:r w:rsidR="00C77C65" w:rsidRPr="00A540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https://www.volcan.com.pe/centro-de-descargas/?cat_id=5</w:t>
              </w:r>
            </w:hyperlink>
          </w:p>
        </w:tc>
      </w:tr>
      <w:tr w:rsidR="00370F0A" w:rsidTr="001B1032">
        <w:trPr>
          <w:trHeight w:val="1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A" w:rsidRPr="00370F0A" w:rsidRDefault="00370F0A" w:rsidP="005F03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567" w:right="289" w:hanging="567"/>
              <w:rPr>
                <w:rFonts w:ascii="Arial" w:hAnsi="Arial" w:cs="Arial"/>
                <w:sz w:val="20"/>
                <w:szCs w:val="20"/>
              </w:rPr>
            </w:pPr>
            <w:r w:rsidRPr="00370F0A">
              <w:rPr>
                <w:rFonts w:ascii="Arial" w:hAnsi="Arial" w:cs="Arial"/>
                <w:sz w:val="20"/>
                <w:szCs w:val="20"/>
              </w:rPr>
              <w:t>Compromiso del Directorio del Emisor a que se refiere el numeral 1.</w:t>
            </w:r>
            <w:r w:rsidR="005F03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A" w:rsidRDefault="00370F0A" w:rsidP="007B6E59">
            <w:pPr>
              <w:autoSpaceDE w:val="0"/>
              <w:autoSpaceDN w:val="0"/>
              <w:adjustRightInd w:val="0"/>
              <w:spacing w:after="240"/>
              <w:ind w:right="-427"/>
              <w:rPr>
                <w:rFonts w:ascii="Arial" w:hAnsi="Arial" w:cs="Arial"/>
              </w:rPr>
            </w:pPr>
          </w:p>
        </w:tc>
      </w:tr>
    </w:tbl>
    <w:p w:rsidR="00370F0A" w:rsidRDefault="00370F0A" w:rsidP="00370F0A">
      <w:pPr>
        <w:spacing w:before="6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Enlace web donde se puede acceder a dicho documento, de ser posible.</w:t>
      </w:r>
    </w:p>
    <w:p w:rsidR="00370F0A" w:rsidRDefault="00370F0A" w:rsidP="009A447C">
      <w:pPr>
        <w:spacing w:before="4" w:after="4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A447C" w:rsidRPr="00DE434E" w:rsidTr="009F2A41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9A447C" w:rsidRPr="00BB4517" w:rsidRDefault="009A447C" w:rsidP="009F2A41">
            <w:pPr>
              <w:pStyle w:val="Prrafodelista"/>
              <w:numPr>
                <w:ilvl w:val="0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Considerando que el Directorio del Emisor </w:t>
            </w:r>
            <w:r w:rsidRPr="00DE434E">
              <w:rPr>
                <w:rFonts w:ascii="Arial" w:hAnsi="Arial" w:cs="Arial"/>
                <w:sz w:val="20"/>
                <w:lang w:val="es-ES"/>
              </w:rPr>
              <w:t xml:space="preserve">es responsable de la existencia </w:t>
            </w:r>
            <w:r>
              <w:rPr>
                <w:rFonts w:ascii="Arial" w:hAnsi="Arial" w:cs="Arial"/>
                <w:sz w:val="20"/>
                <w:lang w:val="es-ES"/>
              </w:rPr>
              <w:t xml:space="preserve">y funcionamiento </w:t>
            </w:r>
            <w:r w:rsidR="000215E6">
              <w:rPr>
                <w:rFonts w:ascii="Arial" w:hAnsi="Arial" w:cs="Arial"/>
                <w:sz w:val="20"/>
                <w:lang w:val="es-ES"/>
              </w:rPr>
              <w:t xml:space="preserve">permanente </w:t>
            </w:r>
            <w:r w:rsidRPr="00DE434E">
              <w:rPr>
                <w:rFonts w:ascii="Arial" w:hAnsi="Arial" w:cs="Arial"/>
                <w:sz w:val="20"/>
                <w:lang w:val="es-ES"/>
              </w:rPr>
              <w:t>de</w:t>
            </w:r>
            <w:r>
              <w:rPr>
                <w:rFonts w:ascii="Arial" w:hAnsi="Arial" w:cs="Arial"/>
                <w:sz w:val="20"/>
                <w:lang w:val="es-ES"/>
              </w:rPr>
              <w:t xml:space="preserve">l </w:t>
            </w:r>
            <w:r w:rsidRPr="00DE434E">
              <w:rPr>
                <w:rFonts w:ascii="Arial" w:hAnsi="Arial" w:cs="Arial"/>
                <w:sz w:val="20"/>
                <w:lang w:val="es-ES"/>
              </w:rPr>
              <w:t xml:space="preserve">sistema de control interno </w:t>
            </w:r>
            <w:r>
              <w:rPr>
                <w:rFonts w:ascii="Arial" w:hAnsi="Arial" w:cs="Arial"/>
                <w:sz w:val="20"/>
                <w:lang w:val="es-ES"/>
              </w:rPr>
              <w:t>en el Emisor</w:t>
            </w:r>
            <w:r w:rsidRPr="00DE434E">
              <w:rPr>
                <w:rFonts w:ascii="Arial" w:hAnsi="Arial" w:cs="Arial"/>
                <w:sz w:val="20"/>
                <w:lang w:val="es-ES"/>
              </w:rPr>
              <w:t>, así como de supervisar su eficacia e idoneidad</w:t>
            </w:r>
            <w:r>
              <w:rPr>
                <w:rFonts w:ascii="Arial" w:hAnsi="Arial" w:cs="Arial"/>
                <w:sz w:val="20"/>
                <w:lang w:val="es-ES"/>
              </w:rPr>
              <w:t>, precise:</w:t>
            </w:r>
          </w:p>
        </w:tc>
      </w:tr>
      <w:tr w:rsidR="009A447C" w:rsidRPr="00DE434E" w:rsidTr="009F2A41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9A447C" w:rsidRDefault="00EE7C89" w:rsidP="00115651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Explique, de modo general </w:t>
            </w:r>
            <w:r w:rsidR="00115651">
              <w:rPr>
                <w:rFonts w:ascii="Arial" w:hAnsi="Arial" w:cs="Arial"/>
                <w:sz w:val="20"/>
                <w:lang w:val="es-ES"/>
              </w:rPr>
              <w:t xml:space="preserve">qué mecanismo 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ha </w:t>
            </w:r>
            <w:r>
              <w:rPr>
                <w:rFonts w:ascii="Arial" w:hAnsi="Arial" w:cs="Arial"/>
                <w:sz w:val="20"/>
                <w:lang w:val="es-ES"/>
              </w:rPr>
              <w:t xml:space="preserve">dispuesto </w:t>
            </w:r>
            <w:r w:rsidR="009A447C">
              <w:rPr>
                <w:rFonts w:ascii="Arial" w:hAnsi="Arial" w:cs="Arial"/>
                <w:sz w:val="20"/>
                <w:lang w:val="es-ES"/>
              </w:rPr>
              <w:t>el Directorio del Emisor</w:t>
            </w:r>
            <w:r w:rsidR="000215E6">
              <w:rPr>
                <w:rFonts w:ascii="Arial" w:hAnsi="Arial" w:cs="Arial"/>
                <w:sz w:val="20"/>
                <w:lang w:val="es-ES"/>
              </w:rPr>
              <w:t>,</w:t>
            </w:r>
            <w:r w:rsidR="00115651">
              <w:rPr>
                <w:rFonts w:ascii="Arial" w:hAnsi="Arial" w:cs="Arial"/>
                <w:sz w:val="20"/>
                <w:lang w:val="es-ES"/>
              </w:rPr>
              <w:t xml:space="preserve"> o por delegación a su Comité de Auditoría,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0215E6">
              <w:rPr>
                <w:rFonts w:ascii="Arial" w:hAnsi="Arial" w:cs="Arial"/>
                <w:sz w:val="20"/>
                <w:lang w:val="es-ES"/>
              </w:rPr>
              <w:t xml:space="preserve">durante el ejercicio 2018 o previamente, 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para </w:t>
            </w:r>
            <w:r w:rsidR="00115651">
              <w:rPr>
                <w:rFonts w:ascii="Arial" w:hAnsi="Arial" w:cs="Arial"/>
                <w:sz w:val="20"/>
                <w:lang w:val="es-ES"/>
              </w:rPr>
              <w:t>evidenciar y documentar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115651">
              <w:rPr>
                <w:rFonts w:ascii="Arial" w:hAnsi="Arial" w:cs="Arial"/>
                <w:sz w:val="20"/>
                <w:lang w:val="es-ES"/>
              </w:rPr>
              <w:t xml:space="preserve">la existencia 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y funcionamiento del </w:t>
            </w:r>
            <w:r w:rsidR="009A447C" w:rsidRPr="00DE434E">
              <w:rPr>
                <w:rFonts w:ascii="Arial" w:hAnsi="Arial" w:cs="Arial"/>
                <w:sz w:val="20"/>
                <w:lang w:val="es-ES"/>
              </w:rPr>
              <w:t xml:space="preserve">sistema de control interno </w:t>
            </w:r>
            <w:r w:rsidR="009A447C">
              <w:rPr>
                <w:rFonts w:ascii="Arial" w:hAnsi="Arial" w:cs="Arial"/>
                <w:sz w:val="20"/>
                <w:lang w:val="es-ES"/>
              </w:rPr>
              <w:t>en el Emisor</w:t>
            </w:r>
            <w:r w:rsidR="00115651">
              <w:rPr>
                <w:rFonts w:ascii="Arial" w:hAnsi="Arial" w:cs="Arial"/>
                <w:sz w:val="20"/>
                <w:lang w:val="es-ES"/>
              </w:rPr>
              <w:t>.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9A447C" w:rsidRPr="002C40B5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BB4517" w:rsidRDefault="009A447C" w:rsidP="00E929F3">
            <w:pPr>
              <w:spacing w:before="4" w:after="4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447C" w:rsidRPr="00E929F3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E929F3" w:rsidRDefault="00C77C65" w:rsidP="00C77C65">
            <w:pPr>
              <w:pStyle w:val="Prrafodelista"/>
              <w:ind w:left="58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77C65">
              <w:rPr>
                <w:rFonts w:ascii="Arial" w:hAnsi="Arial" w:cs="Arial"/>
                <w:sz w:val="20"/>
                <w:lang w:val="es-ES"/>
              </w:rPr>
              <w:t>El mecanismo que ha dispuesto el Directorio es la ejecución de la reunión mensual del Comité de Auditoria en el cual la Unidad de Auditoria Interna presenta y sustenta los informes de auditoría del mes, los cuales han sido desarrollados siguiendo el Plan Anual de Auditoria aprobado por dicho Comité.</w:t>
            </w:r>
          </w:p>
        </w:tc>
      </w:tr>
      <w:tr w:rsidR="009A447C" w:rsidRPr="00DE434E" w:rsidTr="009F2A41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9A447C" w:rsidRDefault="005427DB" w:rsidP="0088729D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 modo general explique sobre l</w:t>
            </w:r>
            <w:r w:rsidR="00115651">
              <w:rPr>
                <w:rFonts w:ascii="Arial" w:hAnsi="Arial" w:cs="Arial"/>
                <w:sz w:val="20"/>
                <w:lang w:val="es-ES"/>
              </w:rPr>
              <w:t xml:space="preserve">as debilidades materiales o </w:t>
            </w:r>
            <w:r w:rsidR="009A447C" w:rsidRPr="00105584">
              <w:rPr>
                <w:rFonts w:ascii="Arial" w:hAnsi="Arial" w:cs="Arial"/>
                <w:sz w:val="20"/>
              </w:rPr>
              <w:t xml:space="preserve">riesgos </w:t>
            </w:r>
            <w:r w:rsidR="00115651">
              <w:rPr>
                <w:rFonts w:ascii="Arial" w:hAnsi="Arial" w:cs="Arial"/>
                <w:sz w:val="20"/>
              </w:rPr>
              <w:t xml:space="preserve">significativos </w:t>
            </w:r>
            <w:r w:rsidR="009A447C" w:rsidRPr="00105584">
              <w:rPr>
                <w:rFonts w:ascii="Arial" w:hAnsi="Arial" w:cs="Arial"/>
                <w:sz w:val="20"/>
              </w:rPr>
              <w:t>identificado</w:t>
            </w:r>
            <w:r>
              <w:rPr>
                <w:rFonts w:ascii="Arial" w:hAnsi="Arial" w:cs="Arial"/>
                <w:sz w:val="20"/>
              </w:rPr>
              <w:t>s</w:t>
            </w:r>
            <w:r w:rsidR="009A447C" w:rsidRPr="001055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por </w:t>
            </w:r>
            <w:r w:rsidR="009A447C" w:rsidRPr="00105584">
              <w:rPr>
                <w:rFonts w:ascii="Arial" w:hAnsi="Arial" w:cs="Arial"/>
                <w:sz w:val="20"/>
              </w:rPr>
              <w:t>el Emisor</w:t>
            </w:r>
            <w:r w:rsidR="000215E6">
              <w:rPr>
                <w:rFonts w:ascii="Arial" w:hAnsi="Arial" w:cs="Arial"/>
                <w:sz w:val="20"/>
                <w:lang w:val="es-ES"/>
              </w:rPr>
              <w:t xml:space="preserve">, durante el ejercicio 2018 o previamente, </w:t>
            </w:r>
            <w:r w:rsidR="009A447C" w:rsidRPr="00105584">
              <w:rPr>
                <w:rFonts w:ascii="Arial" w:hAnsi="Arial" w:cs="Arial"/>
                <w:sz w:val="20"/>
              </w:rPr>
              <w:t xml:space="preserve">en relación con </w:t>
            </w:r>
            <w:r w:rsidR="009A447C">
              <w:rPr>
                <w:rFonts w:ascii="Arial" w:hAnsi="Arial" w:cs="Arial"/>
                <w:sz w:val="20"/>
              </w:rPr>
              <w:t xml:space="preserve">su responsabilidad de que la </w:t>
            </w:r>
            <w:r w:rsidR="009A447C" w:rsidRPr="0030532E">
              <w:rPr>
                <w:rFonts w:ascii="Arial" w:hAnsi="Arial" w:cs="Arial"/>
                <w:sz w:val="20"/>
                <w:lang w:val="es-ES"/>
              </w:rPr>
              <w:t>información</w:t>
            </w:r>
            <w:r w:rsidR="009A447C">
              <w:rPr>
                <w:rFonts w:ascii="Arial" w:hAnsi="Arial" w:cs="Arial"/>
                <w:sz w:val="20"/>
              </w:rPr>
              <w:t xml:space="preserve"> financiera que difunde al mercado en cumplimiento de sus obligaciones sea veraz</w:t>
            </w:r>
            <w:r w:rsidR="0088729D">
              <w:rPr>
                <w:rFonts w:ascii="Arial" w:hAnsi="Arial" w:cs="Arial"/>
                <w:sz w:val="20"/>
              </w:rPr>
              <w:t xml:space="preserve">, esté libre de errores materiales </w:t>
            </w:r>
            <w:r w:rsidR="009A447C">
              <w:rPr>
                <w:rFonts w:ascii="Arial" w:hAnsi="Arial" w:cs="Arial"/>
                <w:sz w:val="20"/>
              </w:rPr>
              <w:t xml:space="preserve">y </w:t>
            </w:r>
            <w:r w:rsidR="009926F1">
              <w:rPr>
                <w:rFonts w:ascii="Arial" w:hAnsi="Arial" w:cs="Arial"/>
                <w:sz w:val="20"/>
              </w:rPr>
              <w:t xml:space="preserve">observe </w:t>
            </w:r>
            <w:r w:rsidR="009A447C" w:rsidRPr="009926F1">
              <w:rPr>
                <w:rFonts w:ascii="Arial" w:hAnsi="Arial" w:cs="Arial"/>
                <w:sz w:val="20"/>
              </w:rPr>
              <w:t>las Normas Internacionales de Información Financiera (NIIF)</w:t>
            </w:r>
            <w:r w:rsidR="009A447C">
              <w:rPr>
                <w:rFonts w:ascii="Arial" w:hAnsi="Arial" w:cs="Arial"/>
                <w:sz w:val="20"/>
              </w:rPr>
              <w:t xml:space="preserve"> emitidas por el </w:t>
            </w:r>
            <w:r w:rsidR="009A447C" w:rsidRPr="00CD3B12">
              <w:rPr>
                <w:rFonts w:ascii="Arial" w:hAnsi="Arial" w:cs="Arial"/>
                <w:sz w:val="20"/>
              </w:rPr>
              <w:t xml:space="preserve">International </w:t>
            </w:r>
            <w:proofErr w:type="spellStart"/>
            <w:r w:rsidR="009A447C" w:rsidRPr="00CD3B12">
              <w:rPr>
                <w:rFonts w:ascii="Arial" w:hAnsi="Arial" w:cs="Arial"/>
                <w:sz w:val="20"/>
              </w:rPr>
              <w:t>Accounting</w:t>
            </w:r>
            <w:proofErr w:type="spellEnd"/>
            <w:r w:rsidR="009A447C" w:rsidRPr="00CD3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A447C" w:rsidRPr="00CD3B12">
              <w:rPr>
                <w:rFonts w:ascii="Arial" w:hAnsi="Arial" w:cs="Arial"/>
                <w:sz w:val="20"/>
              </w:rPr>
              <w:t>Standards</w:t>
            </w:r>
            <w:proofErr w:type="spellEnd"/>
            <w:r w:rsidR="009A447C" w:rsidRPr="00CD3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A447C" w:rsidRPr="00CD3B12">
              <w:rPr>
                <w:rFonts w:ascii="Arial" w:hAnsi="Arial" w:cs="Arial"/>
                <w:sz w:val="20"/>
              </w:rPr>
              <w:t>Board</w:t>
            </w:r>
            <w:proofErr w:type="spellEnd"/>
            <w:r w:rsidR="009A447C">
              <w:rPr>
                <w:rFonts w:ascii="Arial" w:hAnsi="Arial" w:cs="Arial"/>
                <w:sz w:val="20"/>
              </w:rPr>
              <w:t xml:space="preserve"> </w:t>
            </w:r>
            <w:r w:rsidR="009A447C" w:rsidRPr="00CD3B12">
              <w:rPr>
                <w:rFonts w:ascii="Arial" w:hAnsi="Arial" w:cs="Arial"/>
                <w:sz w:val="20"/>
              </w:rPr>
              <w:t>(IASB) vigentes internacionalmente</w:t>
            </w:r>
            <w:r w:rsidR="009A44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</w:t>
            </w:r>
            <w:r w:rsidR="009926F1">
              <w:rPr>
                <w:rFonts w:ascii="Arial" w:hAnsi="Arial" w:cs="Arial"/>
                <w:sz w:val="20"/>
              </w:rPr>
              <w:t xml:space="preserve">, de ser el caso, </w:t>
            </w:r>
            <w:r>
              <w:rPr>
                <w:rFonts w:ascii="Arial" w:hAnsi="Arial" w:cs="Arial"/>
                <w:sz w:val="20"/>
              </w:rPr>
              <w:t xml:space="preserve">con </w:t>
            </w:r>
            <w:r w:rsidR="009926F1">
              <w:rPr>
                <w:rFonts w:ascii="Arial" w:hAnsi="Arial" w:cs="Arial"/>
                <w:sz w:val="20"/>
              </w:rPr>
              <w:t xml:space="preserve">el </w:t>
            </w:r>
            <w:r>
              <w:rPr>
                <w:rFonts w:ascii="Arial" w:hAnsi="Arial" w:cs="Arial"/>
                <w:sz w:val="20"/>
              </w:rPr>
              <w:t xml:space="preserve">estándar </w:t>
            </w:r>
            <w:r w:rsidR="009926F1">
              <w:rPr>
                <w:rFonts w:ascii="Arial" w:hAnsi="Arial" w:cs="Arial"/>
                <w:sz w:val="20"/>
              </w:rPr>
              <w:t>de preparación de información financiera establecido para el Emisor</w:t>
            </w:r>
          </w:p>
        </w:tc>
      </w:tr>
      <w:tr w:rsidR="009A447C" w:rsidRPr="002C40B5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BB4517" w:rsidRDefault="00AB0B80" w:rsidP="00E929F3">
            <w:pPr>
              <w:spacing w:before="4" w:after="4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233A2" w:rsidRPr="00E929F3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4233A2" w:rsidRPr="00E929F3" w:rsidRDefault="00A41CC6" w:rsidP="00E929F3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C37E6">
              <w:rPr>
                <w:rFonts w:ascii="Arial" w:hAnsi="Arial" w:cs="Arial"/>
                <w:sz w:val="20"/>
                <w:szCs w:val="20"/>
                <w:lang w:val="es-ES"/>
              </w:rPr>
              <w:t>No se han identificado debilidades materiales o riesgos.</w:t>
            </w:r>
          </w:p>
        </w:tc>
      </w:tr>
      <w:tr w:rsidR="009A447C" w:rsidRPr="00DE434E" w:rsidTr="009F2A41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9A447C" w:rsidRDefault="009926F1" w:rsidP="0088729D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Explique, de modo general, sobre los actos</w:t>
            </w:r>
            <w:r w:rsidRPr="005050A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que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A447C" w:rsidRPr="005050A4">
              <w:rPr>
                <w:rFonts w:ascii="Arial" w:hAnsi="Arial" w:cs="Arial"/>
                <w:sz w:val="20"/>
                <w:lang w:val="es-ES"/>
              </w:rPr>
              <w:t xml:space="preserve">ha </w:t>
            </w:r>
            <w:r w:rsidR="009A447C">
              <w:rPr>
                <w:rFonts w:ascii="Arial" w:hAnsi="Arial" w:cs="Arial"/>
                <w:sz w:val="20"/>
                <w:lang w:val="es-ES"/>
              </w:rPr>
              <w:t>dispuesto</w:t>
            </w:r>
            <w:r w:rsidR="009A447C" w:rsidRPr="005050A4">
              <w:rPr>
                <w:rFonts w:ascii="Arial" w:hAnsi="Arial" w:cs="Arial"/>
                <w:sz w:val="20"/>
                <w:lang w:val="es-ES"/>
              </w:rPr>
              <w:t xml:space="preserve"> el Directorio del Emisor</w:t>
            </w:r>
            <w:r w:rsidR="000215E6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="0088729D">
              <w:rPr>
                <w:rFonts w:ascii="Arial" w:hAnsi="Arial" w:cs="Arial"/>
                <w:sz w:val="20"/>
                <w:lang w:val="es-ES"/>
              </w:rPr>
              <w:t xml:space="preserve">o por delegación a su Comité de Auditoría, </w:t>
            </w:r>
            <w:r w:rsidR="000215E6">
              <w:rPr>
                <w:rFonts w:ascii="Arial" w:hAnsi="Arial" w:cs="Arial"/>
                <w:sz w:val="20"/>
                <w:lang w:val="es-ES"/>
              </w:rPr>
              <w:t>durante el ejercicio 2018 o previamente,</w:t>
            </w:r>
            <w:r w:rsidR="009A447C" w:rsidRPr="005050A4">
              <w:rPr>
                <w:rFonts w:ascii="Arial" w:hAnsi="Arial" w:cs="Arial"/>
                <w:sz w:val="20"/>
                <w:lang w:val="es-ES"/>
              </w:rPr>
              <w:t xml:space="preserve"> para </w:t>
            </w:r>
            <w:r w:rsidR="009A447C" w:rsidRPr="009926F1">
              <w:rPr>
                <w:rFonts w:ascii="Arial" w:hAnsi="Arial" w:cs="Arial"/>
                <w:sz w:val="20"/>
                <w:lang w:val="es-ES"/>
              </w:rPr>
              <w:t xml:space="preserve">reducir o eliminar </w:t>
            </w:r>
            <w:r w:rsidR="0088729D">
              <w:rPr>
                <w:rFonts w:ascii="Arial" w:hAnsi="Arial" w:cs="Arial"/>
                <w:sz w:val="20"/>
                <w:lang w:val="es-ES"/>
              </w:rPr>
              <w:t xml:space="preserve">las debilidades materiales o </w:t>
            </w:r>
            <w:r w:rsidR="0088729D" w:rsidRPr="00105584">
              <w:rPr>
                <w:rFonts w:ascii="Arial" w:hAnsi="Arial" w:cs="Arial"/>
                <w:sz w:val="20"/>
              </w:rPr>
              <w:t xml:space="preserve">riesgos </w:t>
            </w:r>
            <w:r w:rsidR="0088729D">
              <w:rPr>
                <w:rFonts w:ascii="Arial" w:hAnsi="Arial" w:cs="Arial"/>
                <w:sz w:val="20"/>
              </w:rPr>
              <w:t>significativos</w:t>
            </w:r>
            <w:r w:rsidR="0088729D">
              <w:rPr>
                <w:rFonts w:ascii="Arial" w:hAnsi="Arial" w:cs="Arial"/>
                <w:sz w:val="20"/>
                <w:lang w:val="es-ES"/>
              </w:rPr>
              <w:t xml:space="preserve"> identificados </w:t>
            </w:r>
            <w:r w:rsidR="009A447C">
              <w:rPr>
                <w:rFonts w:ascii="Arial" w:hAnsi="Arial" w:cs="Arial"/>
                <w:sz w:val="20"/>
                <w:lang w:val="es-ES"/>
              </w:rPr>
              <w:t>(</w:t>
            </w:r>
            <w:r w:rsidR="0088729D">
              <w:rPr>
                <w:rFonts w:ascii="Arial" w:hAnsi="Arial" w:cs="Arial"/>
                <w:sz w:val="20"/>
                <w:lang w:val="es-ES"/>
              </w:rPr>
              <w:t xml:space="preserve">controles o 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mitigadores de riesgo) </w:t>
            </w:r>
            <w:r w:rsidR="009A447C" w:rsidRPr="00105584">
              <w:rPr>
                <w:rFonts w:ascii="Arial" w:hAnsi="Arial" w:cs="Arial"/>
                <w:sz w:val="20"/>
              </w:rPr>
              <w:t xml:space="preserve">en relación con </w:t>
            </w:r>
            <w:r w:rsidR="009A447C">
              <w:rPr>
                <w:rFonts w:ascii="Arial" w:hAnsi="Arial" w:cs="Arial"/>
                <w:sz w:val="20"/>
              </w:rPr>
              <w:t>la responsabilidad de que la información financiera que difunde el Emisor al mercado en cumplimiento de sus obligaciones sea veraz</w:t>
            </w:r>
            <w:r w:rsidR="0088729D">
              <w:rPr>
                <w:rFonts w:ascii="Arial" w:hAnsi="Arial" w:cs="Arial"/>
                <w:sz w:val="20"/>
              </w:rPr>
              <w:t xml:space="preserve">, esté libre de errores materiales </w:t>
            </w:r>
            <w:r>
              <w:rPr>
                <w:rFonts w:ascii="Arial" w:hAnsi="Arial" w:cs="Arial"/>
                <w:sz w:val="20"/>
              </w:rPr>
              <w:t xml:space="preserve">y observe </w:t>
            </w:r>
            <w:r w:rsidRPr="009926F1">
              <w:rPr>
                <w:rFonts w:ascii="Arial" w:hAnsi="Arial" w:cs="Arial"/>
                <w:sz w:val="20"/>
              </w:rPr>
              <w:t>las N</w:t>
            </w:r>
            <w:r>
              <w:rPr>
                <w:rFonts w:ascii="Arial" w:hAnsi="Arial" w:cs="Arial"/>
                <w:sz w:val="20"/>
              </w:rPr>
              <w:t>IIF o, de ser el caso, el estándar de preparación de información financiera establecido para el Emisor</w:t>
            </w:r>
          </w:p>
        </w:tc>
      </w:tr>
      <w:tr w:rsidR="009A447C" w:rsidRPr="002C40B5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BB4517" w:rsidRDefault="009A447C" w:rsidP="00E929F3">
            <w:pPr>
              <w:spacing w:before="4" w:after="4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447C" w:rsidRPr="00E929F3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E929F3" w:rsidRDefault="00A41CC6" w:rsidP="00E929F3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C37E6">
              <w:rPr>
                <w:rFonts w:ascii="Arial" w:hAnsi="Arial" w:cs="Arial"/>
                <w:sz w:val="20"/>
                <w:szCs w:val="20"/>
                <w:lang w:val="es-ES"/>
              </w:rPr>
              <w:t>No se han identificado debilidades materiales o riesgos.</w:t>
            </w:r>
          </w:p>
        </w:tc>
      </w:tr>
      <w:tr w:rsidR="009A447C" w:rsidRPr="009F7E90" w:rsidTr="009F2A41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447C" w:rsidRPr="002D6D96" w:rsidRDefault="009926F1" w:rsidP="00B87398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De modo general explique sobre los </w:t>
            </w:r>
            <w:r w:rsidR="000C17FA">
              <w:rPr>
                <w:rFonts w:ascii="Arial" w:hAnsi="Arial" w:cs="Arial"/>
                <w:sz w:val="20"/>
                <w:lang w:val="es-ES"/>
              </w:rPr>
              <w:t>actos o mecanismos</w:t>
            </w:r>
            <w:r>
              <w:rPr>
                <w:rFonts w:ascii="Arial" w:hAnsi="Arial" w:cs="Arial"/>
                <w:sz w:val="20"/>
                <w:lang w:val="es-ES"/>
              </w:rPr>
              <w:t xml:space="preserve"> que ha dispuesto </w:t>
            </w:r>
            <w:r w:rsidR="009A447C">
              <w:rPr>
                <w:rFonts w:ascii="Arial" w:hAnsi="Arial" w:cs="Arial"/>
                <w:sz w:val="20"/>
                <w:lang w:val="es-ES"/>
              </w:rPr>
              <w:t>el Directorio del Emisor</w:t>
            </w:r>
            <w:r w:rsidR="000215E6">
              <w:rPr>
                <w:rFonts w:ascii="Arial" w:hAnsi="Arial" w:cs="Arial"/>
                <w:sz w:val="20"/>
                <w:lang w:val="es-ES"/>
              </w:rPr>
              <w:t>,</w:t>
            </w:r>
            <w:r w:rsidR="000C17FA">
              <w:rPr>
                <w:rFonts w:ascii="Arial" w:hAnsi="Arial" w:cs="Arial"/>
                <w:sz w:val="20"/>
                <w:lang w:val="es-ES"/>
              </w:rPr>
              <w:t xml:space="preserve"> o por delegación a su Comité de Auditoría,</w:t>
            </w:r>
            <w:r w:rsidR="000215E6">
              <w:rPr>
                <w:rFonts w:ascii="Arial" w:hAnsi="Arial" w:cs="Arial"/>
                <w:sz w:val="20"/>
                <w:lang w:val="es-ES"/>
              </w:rPr>
              <w:t xml:space="preserve"> durante el ejercicio 2018 o previamente, 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para </w:t>
            </w:r>
            <w:r w:rsidR="009A447C" w:rsidRPr="009926F1">
              <w:rPr>
                <w:rFonts w:ascii="Arial" w:hAnsi="Arial" w:cs="Arial"/>
                <w:sz w:val="20"/>
                <w:lang w:val="es-ES"/>
              </w:rPr>
              <w:t>supervisar la efectividad</w:t>
            </w:r>
            <w:r w:rsidR="002350EA">
              <w:rPr>
                <w:rFonts w:ascii="Arial" w:hAnsi="Arial" w:cs="Arial"/>
                <w:sz w:val="20"/>
                <w:lang w:val="es-ES"/>
              </w:rPr>
              <w:t>, actualización</w:t>
            </w:r>
            <w:r w:rsidR="009A447C" w:rsidRPr="009926F1">
              <w:rPr>
                <w:rFonts w:ascii="Arial" w:hAnsi="Arial" w:cs="Arial"/>
                <w:sz w:val="20"/>
                <w:lang w:val="es-ES"/>
              </w:rPr>
              <w:t xml:space="preserve"> e idoneidad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 de los </w:t>
            </w:r>
            <w:r w:rsidR="000C17FA">
              <w:rPr>
                <w:rFonts w:ascii="Arial" w:hAnsi="Arial" w:cs="Arial"/>
                <w:sz w:val="20"/>
                <w:lang w:val="es-ES"/>
              </w:rPr>
              <w:t xml:space="preserve">controles </w:t>
            </w:r>
            <w:r w:rsidR="009A447C">
              <w:rPr>
                <w:rFonts w:ascii="Arial" w:hAnsi="Arial" w:cs="Arial"/>
                <w:sz w:val="20"/>
                <w:lang w:val="es-ES"/>
              </w:rPr>
              <w:t>mitigadores de riesgo dispuesto</w:t>
            </w:r>
            <w:r w:rsidR="000C17FA">
              <w:rPr>
                <w:rFonts w:ascii="Arial" w:hAnsi="Arial" w:cs="Arial"/>
                <w:sz w:val="20"/>
                <w:lang w:val="es-ES"/>
              </w:rPr>
              <w:t>s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 en relación con los riesgos </w:t>
            </w:r>
            <w:r>
              <w:rPr>
                <w:rFonts w:ascii="Arial" w:hAnsi="Arial" w:cs="Arial"/>
                <w:sz w:val="20"/>
                <w:lang w:val="es-ES"/>
              </w:rPr>
              <w:t xml:space="preserve">a que se refiere el </w:t>
            </w:r>
            <w:r w:rsidR="009A447C">
              <w:rPr>
                <w:rFonts w:ascii="Arial" w:hAnsi="Arial" w:cs="Arial"/>
                <w:sz w:val="20"/>
                <w:lang w:val="es-ES"/>
              </w:rPr>
              <w:t xml:space="preserve">numeral </w:t>
            </w:r>
            <w:r w:rsidR="00B87398">
              <w:rPr>
                <w:rFonts w:ascii="Arial" w:hAnsi="Arial" w:cs="Arial"/>
                <w:sz w:val="20"/>
                <w:lang w:val="es-ES"/>
              </w:rPr>
              <w:t>2</w:t>
            </w:r>
            <w:r w:rsidR="009A447C">
              <w:rPr>
                <w:rFonts w:ascii="Arial" w:hAnsi="Arial" w:cs="Arial"/>
                <w:sz w:val="20"/>
                <w:lang w:val="es-ES"/>
              </w:rPr>
              <w:t>.3 precedente</w:t>
            </w:r>
            <w:r w:rsidR="00E3102B">
              <w:rPr>
                <w:rFonts w:ascii="Arial" w:hAnsi="Arial" w:cs="Arial"/>
                <w:sz w:val="20"/>
                <w:lang w:val="es-ES"/>
              </w:rPr>
              <w:t xml:space="preserve"> (control de calidad o auditoría de efectividad de los controles y/o mitigadores)</w:t>
            </w:r>
          </w:p>
        </w:tc>
      </w:tr>
      <w:tr w:rsidR="009A447C" w:rsidRPr="002C40B5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BB4517" w:rsidRDefault="00AB0B80" w:rsidP="00E929F3">
            <w:pPr>
              <w:spacing w:before="4" w:after="4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447C" w:rsidRPr="00E929F3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E929F3" w:rsidRDefault="00A41CC6" w:rsidP="00E929F3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C37E6">
              <w:rPr>
                <w:rFonts w:ascii="Arial" w:hAnsi="Arial" w:cs="Arial"/>
                <w:sz w:val="20"/>
                <w:szCs w:val="20"/>
                <w:lang w:val="es-ES"/>
              </w:rPr>
              <w:t>No se han identificado debilidades materiales o riesgos.</w:t>
            </w:r>
          </w:p>
        </w:tc>
      </w:tr>
      <w:tr w:rsidR="009A447C" w:rsidRPr="00E929F3" w:rsidTr="007B6E59">
        <w:trPr>
          <w:trHeight w:val="288"/>
        </w:trPr>
        <w:tc>
          <w:tcPr>
            <w:tcW w:w="5000" w:type="pct"/>
            <w:shd w:val="clear" w:color="auto" w:fill="F2F2F2"/>
          </w:tcPr>
          <w:p w:rsidR="009A447C" w:rsidRPr="00E929F3" w:rsidRDefault="009A447C" w:rsidP="009F2A41">
            <w:pPr>
              <w:pStyle w:val="Prrafodelista"/>
              <w:numPr>
                <w:ilvl w:val="1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929F3">
              <w:rPr>
                <w:rFonts w:ascii="Arial" w:hAnsi="Arial" w:cs="Arial"/>
                <w:sz w:val="20"/>
                <w:lang w:val="es-ES"/>
              </w:rPr>
              <w:lastRenderedPageBreak/>
              <w:t>Precise la fecha de aprobación por el Directorio del Emisor del Documento que contiene la Política para la designación del auditor externo, duración del contrato y criterios para la renovación, a que se refiere la Sección C del Reporte. Precise la denominación de dicho documento:</w:t>
            </w:r>
          </w:p>
        </w:tc>
      </w:tr>
      <w:tr w:rsidR="009A447C" w:rsidRPr="002C40B5" w:rsidTr="00E929F3">
        <w:trPr>
          <w:trHeight w:val="288"/>
        </w:trPr>
        <w:tc>
          <w:tcPr>
            <w:tcW w:w="5000" w:type="pct"/>
            <w:shd w:val="clear" w:color="auto" w:fill="auto"/>
          </w:tcPr>
          <w:p w:rsidR="009A447C" w:rsidRPr="000B5BA1" w:rsidRDefault="00AB0B80" w:rsidP="00E929F3">
            <w:pPr>
              <w:spacing w:before="4" w:after="4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29F3" w:rsidRPr="005F031D" w:rsidTr="00E929F3">
        <w:trPr>
          <w:trHeight w:val="288"/>
        </w:trPr>
        <w:tc>
          <w:tcPr>
            <w:tcW w:w="5000" w:type="pct"/>
            <w:shd w:val="clear" w:color="auto" w:fill="auto"/>
          </w:tcPr>
          <w:p w:rsidR="00E929F3" w:rsidRPr="005F031D" w:rsidRDefault="00A41CC6" w:rsidP="00A41CC6">
            <w:pPr>
              <w:pStyle w:val="Prrafodelista"/>
              <w:ind w:left="589" w:firstLine="21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La sociedad no cuenta con una política para la designación del Auditor Externo ni con una política de renovación de auditor independiente</w:t>
            </w:r>
          </w:p>
        </w:tc>
      </w:tr>
    </w:tbl>
    <w:p w:rsidR="009A447C" w:rsidRDefault="009A447C" w:rsidP="009A447C">
      <w:pPr>
        <w:spacing w:before="4" w:after="4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A447C" w:rsidRPr="00485888" w:rsidTr="007B6E59">
        <w:trPr>
          <w:trHeight w:val="288"/>
        </w:trPr>
        <w:tc>
          <w:tcPr>
            <w:tcW w:w="5000" w:type="pct"/>
            <w:shd w:val="clear" w:color="auto" w:fill="F2F2F2"/>
          </w:tcPr>
          <w:p w:rsidR="009A447C" w:rsidRPr="0066214F" w:rsidRDefault="009A447C" w:rsidP="00AB0B80">
            <w:pPr>
              <w:pStyle w:val="Prrafodelista"/>
              <w:numPr>
                <w:ilvl w:val="0"/>
                <w:numId w:val="6"/>
              </w:numPr>
              <w:spacing w:before="4" w:after="4" w:line="24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Precise la fecha de aprobación por el Directorio del Emisor del Documento que contiene las </w:t>
            </w:r>
            <w:r w:rsidRPr="009B6406">
              <w:rPr>
                <w:rFonts w:ascii="Arial" w:hAnsi="Arial" w:cs="Arial"/>
                <w:sz w:val="20"/>
                <w:szCs w:val="20"/>
              </w:rPr>
              <w:t>Responsabilidades del encargado de Auditoría Interna</w:t>
            </w:r>
            <w:r>
              <w:rPr>
                <w:rFonts w:ascii="Arial" w:hAnsi="Arial" w:cs="Arial"/>
                <w:sz w:val="20"/>
                <w:szCs w:val="20"/>
              </w:rPr>
              <w:t xml:space="preserve"> a que se refiere la Sección C del Reporte. Precise la denominación de dicho documento:</w:t>
            </w:r>
          </w:p>
        </w:tc>
      </w:tr>
      <w:tr w:rsidR="009A447C" w:rsidRPr="00485888" w:rsidTr="009F2A41">
        <w:trPr>
          <w:trHeight w:val="288"/>
        </w:trPr>
        <w:tc>
          <w:tcPr>
            <w:tcW w:w="5000" w:type="pct"/>
            <w:shd w:val="clear" w:color="auto" w:fill="auto"/>
          </w:tcPr>
          <w:p w:rsidR="009A447C" w:rsidRDefault="00AB0B80" w:rsidP="00AB0B80">
            <w:pPr>
              <w:pStyle w:val="Prrafodelista"/>
              <w:spacing w:before="4" w:after="4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447C" w:rsidRPr="00E929F3" w:rsidTr="00E929F3">
        <w:trPr>
          <w:trHeight w:val="288"/>
        </w:trPr>
        <w:tc>
          <w:tcPr>
            <w:tcW w:w="5000" w:type="pct"/>
            <w:shd w:val="clear" w:color="auto" w:fill="auto"/>
          </w:tcPr>
          <w:p w:rsidR="00A41CC6" w:rsidRPr="00A41CC6" w:rsidRDefault="00A41CC6" w:rsidP="00A41CC6">
            <w:pPr>
              <w:pStyle w:val="Prrafodelista"/>
              <w:ind w:left="58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En Sesión de Directorio de 14 de Julio de 2010 se nombró como Gerente de Auditoria al Sr. Juan Begazo Vizcarra.</w:t>
            </w:r>
          </w:p>
          <w:p w:rsidR="009A447C" w:rsidRPr="00E929F3" w:rsidRDefault="00A41CC6" w:rsidP="00A41CC6">
            <w:pPr>
              <w:pStyle w:val="Prrafodelista"/>
              <w:ind w:left="58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Las responsabilidades del encargado de auditoria interna están contenidas en el manual de organización y funciones de dicha área.</w:t>
            </w:r>
          </w:p>
        </w:tc>
      </w:tr>
    </w:tbl>
    <w:p w:rsidR="009A447C" w:rsidRPr="00923029" w:rsidRDefault="009A447C" w:rsidP="009A447C">
      <w:pPr>
        <w:spacing w:before="4" w:after="4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A447C" w:rsidRPr="002C40B5" w:rsidTr="009F2A41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9A447C" w:rsidRPr="00BB4517" w:rsidRDefault="009A447C" w:rsidP="00E3102B">
            <w:pPr>
              <w:pStyle w:val="Prrafodelista"/>
              <w:numPr>
                <w:ilvl w:val="0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B4517">
              <w:rPr>
                <w:rFonts w:ascii="Arial" w:hAnsi="Arial" w:cs="Arial"/>
                <w:sz w:val="20"/>
              </w:rPr>
              <w:t xml:space="preserve">Considerando que el Directorio de la sociedad </w:t>
            </w:r>
            <w:r w:rsidR="00E3102B">
              <w:rPr>
                <w:rFonts w:ascii="Arial" w:hAnsi="Arial" w:cs="Arial"/>
                <w:sz w:val="20"/>
                <w:lang w:val="es-ES"/>
              </w:rPr>
              <w:t>o por delegación a su Comité de Auditoría,</w:t>
            </w:r>
            <w:r w:rsidR="00E3102B" w:rsidRPr="00BB4517">
              <w:rPr>
                <w:rFonts w:ascii="Arial" w:hAnsi="Arial" w:cs="Arial"/>
                <w:sz w:val="20"/>
              </w:rPr>
              <w:t xml:space="preserve"> </w:t>
            </w:r>
            <w:r w:rsidRPr="00BB4517">
              <w:rPr>
                <w:rFonts w:ascii="Arial" w:hAnsi="Arial" w:cs="Arial"/>
                <w:sz w:val="20"/>
              </w:rPr>
              <w:t xml:space="preserve">es responsable de supervisar la eficacia e idoneidad del sistema de control interno y externo (Principio 25), </w:t>
            </w:r>
            <w:r w:rsidR="00AB0B80">
              <w:rPr>
                <w:rFonts w:ascii="Arial" w:hAnsi="Arial" w:cs="Arial"/>
                <w:sz w:val="20"/>
              </w:rPr>
              <w:t xml:space="preserve">explique de modo general sobre los </w:t>
            </w:r>
            <w:r w:rsidR="00E3102B">
              <w:rPr>
                <w:rFonts w:ascii="Arial" w:hAnsi="Arial" w:cs="Arial"/>
                <w:sz w:val="20"/>
              </w:rPr>
              <w:t xml:space="preserve">mecanismos de </w:t>
            </w:r>
            <w:r w:rsidR="00AB0B80">
              <w:rPr>
                <w:rFonts w:ascii="Arial" w:hAnsi="Arial" w:cs="Arial"/>
                <w:sz w:val="20"/>
              </w:rPr>
              <w:t xml:space="preserve">reporte </w:t>
            </w:r>
            <w:r w:rsidRPr="00BB4517">
              <w:rPr>
                <w:rFonts w:ascii="Arial" w:hAnsi="Arial" w:cs="Arial"/>
                <w:sz w:val="20"/>
              </w:rPr>
              <w:t>que, durante el 201</w:t>
            </w:r>
            <w:r>
              <w:rPr>
                <w:rFonts w:ascii="Arial" w:hAnsi="Arial" w:cs="Arial"/>
                <w:sz w:val="20"/>
              </w:rPr>
              <w:t>8</w:t>
            </w:r>
            <w:r w:rsidRPr="00BB4517">
              <w:rPr>
                <w:rFonts w:ascii="Arial" w:hAnsi="Arial" w:cs="Arial"/>
                <w:sz w:val="20"/>
              </w:rPr>
              <w:t xml:space="preserve">, </w:t>
            </w:r>
            <w:r w:rsidR="00AB0B80">
              <w:rPr>
                <w:rFonts w:ascii="Arial" w:hAnsi="Arial" w:cs="Arial"/>
                <w:sz w:val="20"/>
              </w:rPr>
              <w:t xml:space="preserve">le </w:t>
            </w:r>
            <w:r w:rsidR="000215E6">
              <w:rPr>
                <w:rFonts w:ascii="Arial" w:hAnsi="Arial" w:cs="Arial"/>
                <w:sz w:val="20"/>
              </w:rPr>
              <w:t xml:space="preserve">ha </w:t>
            </w:r>
            <w:r w:rsidR="00AB0B80">
              <w:rPr>
                <w:rFonts w:ascii="Arial" w:hAnsi="Arial" w:cs="Arial"/>
                <w:sz w:val="20"/>
              </w:rPr>
              <w:t xml:space="preserve">presentado </w:t>
            </w:r>
            <w:r w:rsidR="00E3102B">
              <w:rPr>
                <w:rFonts w:ascii="Arial" w:hAnsi="Arial" w:cs="Arial"/>
                <w:sz w:val="20"/>
              </w:rPr>
              <w:t>al Directorio</w:t>
            </w:r>
            <w:r w:rsidR="00E3102B" w:rsidRPr="00BB4517">
              <w:rPr>
                <w:rFonts w:ascii="Arial" w:hAnsi="Arial" w:cs="Arial"/>
                <w:sz w:val="20"/>
              </w:rPr>
              <w:t xml:space="preserve"> </w:t>
            </w:r>
            <w:r w:rsidRPr="00BB4517">
              <w:rPr>
                <w:rFonts w:ascii="Arial" w:hAnsi="Arial" w:cs="Arial"/>
                <w:sz w:val="20"/>
              </w:rPr>
              <w:t>el auditor interno o quien haga sus veces</w:t>
            </w:r>
            <w:r w:rsidR="00AB0B80">
              <w:rPr>
                <w:rFonts w:ascii="Arial" w:hAnsi="Arial" w:cs="Arial"/>
                <w:sz w:val="20"/>
              </w:rPr>
              <w:t xml:space="preserve">, sobre </w:t>
            </w:r>
            <w:r w:rsidRPr="00BB4517">
              <w:rPr>
                <w:rFonts w:ascii="Arial" w:hAnsi="Arial" w:cs="Arial"/>
                <w:sz w:val="20"/>
              </w:rPr>
              <w:t>los resultados de</w:t>
            </w:r>
            <w:r>
              <w:rPr>
                <w:rFonts w:ascii="Arial" w:hAnsi="Arial" w:cs="Arial"/>
                <w:sz w:val="20"/>
              </w:rPr>
              <w:t>l seguimiento permanente y</w:t>
            </w:r>
            <w:r w:rsidRPr="00BB4517">
              <w:rPr>
                <w:rFonts w:ascii="Arial" w:hAnsi="Arial" w:cs="Arial"/>
                <w:sz w:val="20"/>
              </w:rPr>
              <w:t xml:space="preserve"> evaluación realizada a</w:t>
            </w:r>
            <w:r>
              <w:rPr>
                <w:rFonts w:ascii="Arial" w:hAnsi="Arial" w:cs="Arial"/>
                <w:sz w:val="20"/>
              </w:rPr>
              <w:t>l sistema de control interno del Emisor.</w:t>
            </w:r>
          </w:p>
        </w:tc>
      </w:tr>
      <w:tr w:rsidR="009A447C" w:rsidRPr="002C40B5" w:rsidTr="009F2A41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BB4517" w:rsidRDefault="009A447C" w:rsidP="009F2A41">
            <w:pPr>
              <w:spacing w:before="4" w:after="4"/>
              <w:rPr>
                <w:rFonts w:ascii="Arial" w:hAnsi="Arial" w:cs="Arial"/>
                <w:b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447C" w:rsidRPr="00E929F3" w:rsidTr="009F2A41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47C" w:rsidRPr="00E929F3" w:rsidRDefault="00A41CC6" w:rsidP="00A41CC6">
            <w:pPr>
              <w:pStyle w:val="Prrafodelista"/>
              <w:ind w:left="589" w:firstLine="21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Durante el 2018, el Gerente de Auditoria ha presentado al Comité de Auditoria del Directorio (41) informes referidos a auditorías sobre el cumplimiento contractual y objetivos operativos de las principales empresas contratistas; auditorías sobre el cumplimiento de las políticas, procedimientos y normas legales vigentes; auditorías sobre el cumplimiento de los aspectos éticos y de conducta; auditorías de riesgos y controles de los principales procesos de negocio y auditorías de las principales cuentas contables de los Estados Financieros.</w:t>
            </w:r>
          </w:p>
        </w:tc>
      </w:tr>
    </w:tbl>
    <w:p w:rsidR="009A447C" w:rsidRDefault="009A447C" w:rsidP="009A447C">
      <w:pPr>
        <w:spacing w:before="4" w:after="4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33A2" w:rsidRPr="002C40B5" w:rsidTr="007B6E59"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4233A2" w:rsidRPr="00BB4517" w:rsidRDefault="004233A2" w:rsidP="000D5C13">
            <w:pPr>
              <w:pStyle w:val="Prrafodelista"/>
              <w:numPr>
                <w:ilvl w:val="0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ser el caso, </w:t>
            </w:r>
            <w:r w:rsidR="000D5C13">
              <w:rPr>
                <w:rFonts w:ascii="Arial" w:hAnsi="Arial" w:cs="Arial"/>
                <w:sz w:val="20"/>
              </w:rPr>
              <w:t xml:space="preserve">explique </w:t>
            </w:r>
            <w:r>
              <w:rPr>
                <w:rFonts w:ascii="Arial" w:hAnsi="Arial" w:cs="Arial"/>
                <w:sz w:val="20"/>
              </w:rPr>
              <w:t xml:space="preserve">de manera general si el Emisor cuenta con un responsable y/o área de cumplimiento normativo o </w:t>
            </w:r>
            <w:proofErr w:type="spellStart"/>
            <w:r w:rsidRPr="004233A2">
              <w:rPr>
                <w:rFonts w:ascii="Arial" w:hAnsi="Arial" w:cs="Arial"/>
                <w:i/>
                <w:sz w:val="20"/>
              </w:rPr>
              <w:t>compliance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0D5C13">
              <w:rPr>
                <w:rFonts w:ascii="Arial" w:hAnsi="Arial" w:cs="Arial"/>
                <w:sz w:val="20"/>
              </w:rPr>
              <w:t>y toda la información relevante que sobre dicha función o área considere importante informar:</w:t>
            </w:r>
          </w:p>
        </w:tc>
      </w:tr>
      <w:tr w:rsidR="004233A2" w:rsidRPr="002C40B5" w:rsidTr="007B6E59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4233A2" w:rsidRPr="00BB4517" w:rsidRDefault="004233A2" w:rsidP="007B6E59">
            <w:pPr>
              <w:spacing w:before="4" w:after="4"/>
              <w:rPr>
                <w:rFonts w:ascii="Arial" w:hAnsi="Arial" w:cs="Arial"/>
                <w:b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233A2" w:rsidRPr="00E929F3" w:rsidTr="007B6E59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C6" w:rsidRPr="00A41CC6" w:rsidRDefault="00A41CC6" w:rsidP="00A41CC6">
            <w:pPr>
              <w:pStyle w:val="Prrafodelista"/>
              <w:ind w:left="58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El emisor cuenta con un responsable de cumplimiento que ha realizado la implementación del modelo de prevención y viene monitoreando su aplicación. Los componentes implementados son los siguientes:</w:t>
            </w:r>
          </w:p>
          <w:p w:rsidR="00A41CC6" w:rsidRPr="00A41CC6" w:rsidRDefault="00A41CC6" w:rsidP="00A41CC6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1.- Designación del encargado de prevención. Realizada por directorio</w:t>
            </w:r>
          </w:p>
          <w:p w:rsidR="00A41CC6" w:rsidRPr="00A41CC6" w:rsidRDefault="00A41CC6" w:rsidP="00A41CC6">
            <w:pPr>
              <w:pStyle w:val="Prrafodelista"/>
              <w:ind w:left="873" w:hanging="284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2.- Identificación, evaluación y mitigación de riesgos mediante la evaluación interna de riesgos de comisión de delitos de lavado de activos y financiamiento del terrorismo principalmente</w:t>
            </w:r>
          </w:p>
          <w:p w:rsidR="00A41CC6" w:rsidRPr="00A41CC6" w:rsidRDefault="00A41CC6" w:rsidP="00A41CC6">
            <w:pPr>
              <w:pStyle w:val="Prrafodelista"/>
              <w:ind w:left="873" w:hanging="3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3.- Se tiene implementado el canal de Línea de Denuncias (uno interno y otro externo según indicaciones del accionista controlador)</w:t>
            </w:r>
          </w:p>
          <w:p w:rsidR="00A41CC6" w:rsidRPr="00A41CC6" w:rsidRDefault="00A41CC6" w:rsidP="00A41CC6">
            <w:pPr>
              <w:pStyle w:val="Prrafodelista"/>
              <w:ind w:left="873" w:hanging="306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4.- </w:t>
            </w:r>
            <w:r w:rsidRPr="00A41CC6">
              <w:rPr>
                <w:rFonts w:ascii="Arial" w:hAnsi="Arial" w:cs="Arial"/>
                <w:sz w:val="20"/>
                <w:lang w:val="es-ES"/>
              </w:rPr>
              <w:t>Constantemente se realizan capacitaciones sobre el contenido del Modelo (programa Anticorrupción, Conflicto de Intereses, Código de Ética, Procedimiento de Debida Diligencia)</w:t>
            </w:r>
          </w:p>
          <w:p w:rsidR="004233A2" w:rsidRPr="00E929F3" w:rsidRDefault="00A41CC6" w:rsidP="00A41CC6">
            <w:pPr>
              <w:pStyle w:val="Prrafodelista"/>
              <w:ind w:left="873" w:hanging="30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lastRenderedPageBreak/>
              <w:t xml:space="preserve">5.- Evaluación y monitoreo. Esta es una labor constante y se realiza internamente por el </w:t>
            </w:r>
            <w:r>
              <w:rPr>
                <w:rFonts w:ascii="Arial" w:hAnsi="Arial" w:cs="Arial"/>
                <w:sz w:val="20"/>
                <w:lang w:val="es-ES"/>
              </w:rPr>
              <w:t>responsable</w:t>
            </w:r>
            <w:r w:rsidRPr="00A41CC6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proofErr w:type="spellStart"/>
            <w:r w:rsidRPr="00A41CC6">
              <w:rPr>
                <w:rFonts w:ascii="Arial" w:hAnsi="Arial" w:cs="Arial"/>
                <w:sz w:val="20"/>
                <w:lang w:val="es-ES"/>
              </w:rPr>
              <w:t>Compliance</w:t>
            </w:r>
            <w:proofErr w:type="spellEnd"/>
            <w:r w:rsidRPr="00A41CC6">
              <w:rPr>
                <w:rFonts w:ascii="Arial" w:hAnsi="Arial" w:cs="Arial"/>
                <w:sz w:val="20"/>
                <w:lang w:val="es-ES"/>
              </w:rPr>
              <w:t xml:space="preserve"> y como complemento los procedimientos son parte del  plan de auditoría</w:t>
            </w:r>
          </w:p>
        </w:tc>
      </w:tr>
    </w:tbl>
    <w:p w:rsidR="004233A2" w:rsidRPr="00B11F1B" w:rsidRDefault="004233A2" w:rsidP="009A447C">
      <w:pPr>
        <w:spacing w:before="4" w:after="4"/>
        <w:jc w:val="both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9A447C" w:rsidRPr="00F579C9" w:rsidTr="009F2A41">
        <w:trPr>
          <w:jc w:val="center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F2F2F2"/>
          </w:tcPr>
          <w:p w:rsidR="009A447C" w:rsidRPr="00BB4517" w:rsidRDefault="009A447C" w:rsidP="009F2A41">
            <w:pPr>
              <w:pStyle w:val="Prrafodelista"/>
              <w:numPr>
                <w:ilvl w:val="0"/>
                <w:numId w:val="6"/>
              </w:numPr>
              <w:spacing w:before="4" w:after="4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Evaluación del sistema de control interno del Emisor por parte de la sociedad de </w:t>
            </w:r>
            <w:r w:rsidRPr="00BB4517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auditoría externa 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contratada (SOA), que ejecutó </w:t>
            </w:r>
            <w:r w:rsidRPr="00B32E5E">
              <w:rPr>
                <w:rFonts w:ascii="Arial" w:eastAsia="Times New Roman" w:hAnsi="Arial" w:cs="Arial"/>
                <w:b/>
                <w:sz w:val="20"/>
                <w:szCs w:val="24"/>
                <w:u w:val="single"/>
                <w:lang w:val="es-ES" w:eastAsia="es-ES"/>
              </w:rPr>
              <w:t>el trabajo de auditoría financiera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para dictaminar los estados financieros </w:t>
            </w:r>
            <w:r w:rsidRPr="00BB4517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correspondiente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s</w:t>
            </w:r>
            <w:r w:rsidRPr="00BB4517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</w:t>
            </w:r>
            <w:r w:rsidRPr="00985FFE">
              <w:rPr>
                <w:rFonts w:ascii="Arial" w:eastAsia="Times New Roman" w:hAnsi="Arial" w:cs="Arial"/>
                <w:b/>
                <w:sz w:val="20"/>
                <w:szCs w:val="24"/>
                <w:u w:val="single"/>
                <w:lang w:val="es-ES" w:eastAsia="es-ES"/>
              </w:rPr>
              <w:t>al ejercicio 2018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u w:val="single"/>
                <w:lang w:val="es-ES" w:eastAsia="es-ES"/>
              </w:rPr>
              <w:t>:</w:t>
            </w:r>
          </w:p>
        </w:tc>
      </w:tr>
      <w:tr w:rsidR="009A447C" w:rsidRPr="00F579C9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9A447C" w:rsidRPr="00BB4517" w:rsidRDefault="009A447C" w:rsidP="009F2A41">
            <w:pPr>
              <w:numPr>
                <w:ilvl w:val="1"/>
                <w:numId w:val="6"/>
              </w:numPr>
              <w:spacing w:before="4" w:after="4"/>
              <w:ind w:left="567" w:hanging="567"/>
              <w:rPr>
                <w:rFonts w:ascii="Arial" w:hAnsi="Arial" w:cs="Arial"/>
                <w:sz w:val="20"/>
              </w:rPr>
            </w:pPr>
            <w:r w:rsidRPr="00BB4517">
              <w:rPr>
                <w:rFonts w:ascii="Arial" w:hAnsi="Arial" w:cs="Arial"/>
                <w:sz w:val="20"/>
              </w:rPr>
              <w:t>Nombre de l</w:t>
            </w:r>
            <w:r>
              <w:rPr>
                <w:rFonts w:ascii="Arial" w:hAnsi="Arial" w:cs="Arial"/>
                <w:sz w:val="20"/>
              </w:rPr>
              <w:t>a SOA:</w:t>
            </w:r>
          </w:p>
        </w:tc>
      </w:tr>
      <w:tr w:rsidR="009A447C" w:rsidRPr="00E929F3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47C" w:rsidRPr="00E929F3" w:rsidRDefault="00A41CC6" w:rsidP="00E929F3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 xml:space="preserve">Gris y Asociados S. Civil de R.L., firma miembro de </w:t>
            </w:r>
            <w:proofErr w:type="spellStart"/>
            <w:r w:rsidRPr="00A41CC6">
              <w:rPr>
                <w:rFonts w:ascii="Arial" w:hAnsi="Arial" w:cs="Arial"/>
                <w:sz w:val="20"/>
                <w:lang w:val="es-ES"/>
              </w:rPr>
              <w:t>Deloitte</w:t>
            </w:r>
            <w:proofErr w:type="spellEnd"/>
            <w:r w:rsidRPr="00A41CC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="009A447C" w:rsidRPr="00487B45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A447C" w:rsidRPr="00BB4517" w:rsidRDefault="009A447C" w:rsidP="009F2A41">
            <w:pPr>
              <w:numPr>
                <w:ilvl w:val="1"/>
                <w:numId w:val="6"/>
              </w:numPr>
              <w:spacing w:before="4" w:after="4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CE54CD">
              <w:rPr>
                <w:rFonts w:ascii="Arial" w:hAnsi="Arial" w:cs="Arial"/>
                <w:sz w:val="20"/>
                <w:szCs w:val="20"/>
              </w:rPr>
              <w:t>Fecha de inicio del trabajo de auditoría financiera del ejercicio 201</w:t>
            </w:r>
            <w:r>
              <w:rPr>
                <w:rFonts w:ascii="Arial" w:hAnsi="Arial" w:cs="Arial"/>
                <w:sz w:val="20"/>
                <w:szCs w:val="20"/>
              </w:rPr>
              <w:t>8:</w:t>
            </w:r>
          </w:p>
        </w:tc>
      </w:tr>
      <w:tr w:rsidR="009A447C" w:rsidRPr="00E929F3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447C" w:rsidRPr="00E929F3" w:rsidRDefault="00A41CC6" w:rsidP="00E929F3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41CC6">
              <w:rPr>
                <w:rFonts w:ascii="Arial" w:hAnsi="Arial" w:cs="Arial"/>
                <w:sz w:val="20"/>
                <w:lang w:val="es-ES"/>
              </w:rPr>
              <w:t>Jueves 18 de octubre de 2018</w:t>
            </w:r>
          </w:p>
        </w:tc>
      </w:tr>
      <w:tr w:rsidR="009A447C" w:rsidRPr="00487B45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A447C" w:rsidRPr="00BB4517" w:rsidRDefault="00AB0B80" w:rsidP="00AB0B80">
            <w:pPr>
              <w:numPr>
                <w:ilvl w:val="1"/>
                <w:numId w:val="6"/>
              </w:numPr>
              <w:spacing w:before="4" w:after="4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Explique de modo general sobre </w:t>
            </w:r>
            <w:r w:rsidR="009A447C">
              <w:rPr>
                <w:rFonts w:ascii="Arial" w:hAnsi="Arial" w:cs="Arial"/>
                <w:sz w:val="20"/>
              </w:rPr>
              <w:t xml:space="preserve">las comunicaciones efectuadas por la SOA al Directorio del Emisor </w:t>
            </w:r>
            <w:r w:rsidR="00B87398">
              <w:rPr>
                <w:rFonts w:ascii="Arial" w:hAnsi="Arial" w:cs="Arial"/>
                <w:sz w:val="20"/>
              </w:rPr>
              <w:t xml:space="preserve">o </w:t>
            </w:r>
            <w:r w:rsidR="000D5C13">
              <w:rPr>
                <w:rFonts w:ascii="Arial" w:hAnsi="Arial" w:cs="Arial"/>
                <w:sz w:val="20"/>
              </w:rPr>
              <w:t xml:space="preserve">a su Comité de Auditoría </w:t>
            </w:r>
            <w:r w:rsidR="009A447C">
              <w:rPr>
                <w:rFonts w:ascii="Arial" w:hAnsi="Arial" w:cs="Arial"/>
                <w:sz w:val="20"/>
              </w:rPr>
              <w:t xml:space="preserve">con relación al trabajo de </w:t>
            </w:r>
            <w:r w:rsidR="009A447C" w:rsidRPr="00CE54CD">
              <w:rPr>
                <w:rFonts w:ascii="Arial" w:hAnsi="Arial" w:cs="Arial"/>
                <w:sz w:val="20"/>
                <w:szCs w:val="20"/>
              </w:rPr>
              <w:t>auditoría financiera del ejercicio 201</w:t>
            </w:r>
            <w:r w:rsidR="009A447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A447C" w:rsidRPr="00E929F3" w:rsidTr="009F2A41">
        <w:tblPrEx>
          <w:jc w:val="left"/>
        </w:tblPrEx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A447C" w:rsidRPr="00E929F3" w:rsidRDefault="00F1330A" w:rsidP="00F1330A">
            <w:pPr>
              <w:pStyle w:val="Prrafodelista"/>
              <w:ind w:left="589" w:hanging="22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20AF1">
              <w:rPr>
                <w:rFonts w:ascii="Arial" w:hAnsi="Arial" w:cs="Arial"/>
                <w:sz w:val="20"/>
                <w:szCs w:val="20"/>
                <w:lang w:val="es-ES"/>
              </w:rPr>
              <w:t>La SOA emite un documento llamado “Carta de Manifestaciones de la Gerencia” mediante el cual informan al Directorio sobre el trabajo realizado.</w:t>
            </w:r>
          </w:p>
        </w:tc>
      </w:tr>
      <w:tr w:rsidR="009A447C" w:rsidRPr="00487B45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A447C" w:rsidRPr="00BB4517" w:rsidRDefault="00DB1A6C" w:rsidP="00DB1A6C">
            <w:pPr>
              <w:numPr>
                <w:ilvl w:val="1"/>
                <w:numId w:val="6"/>
              </w:numPr>
              <w:spacing w:before="4" w:after="4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Los hallazgos significativos comunicados al Directorio o </w:t>
            </w:r>
            <w:r w:rsidR="000D5C13">
              <w:rPr>
                <w:rFonts w:ascii="Arial" w:hAnsi="Arial" w:cs="Arial"/>
                <w:sz w:val="20"/>
              </w:rPr>
              <w:t xml:space="preserve">a su Comité de Auditoría y </w:t>
            </w:r>
            <w:r>
              <w:rPr>
                <w:rFonts w:ascii="Arial" w:hAnsi="Arial" w:cs="Arial"/>
                <w:sz w:val="20"/>
              </w:rPr>
              <w:t>a la Gerencia por la SOA se encuentran documentados (SI / NO):</w:t>
            </w:r>
          </w:p>
        </w:tc>
      </w:tr>
      <w:tr w:rsidR="009A447C" w:rsidRPr="00E929F3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A447C" w:rsidRPr="00E929F3" w:rsidRDefault="00F1330A" w:rsidP="00E929F3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</w:t>
            </w:r>
          </w:p>
        </w:tc>
      </w:tr>
      <w:tr w:rsidR="009A447C" w:rsidRPr="00487B45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9A447C" w:rsidRPr="00BB4517" w:rsidRDefault="009A447C" w:rsidP="009F2A41">
            <w:pPr>
              <w:numPr>
                <w:ilvl w:val="1"/>
                <w:numId w:val="6"/>
              </w:numPr>
              <w:spacing w:before="4" w:after="4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Fecha de documento que contiene recomendaciones de</w:t>
            </w:r>
            <w:r w:rsidR="000215E6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 auditor externo sobre la evaluación del sistema de control interno relacionado con la elaboración y presentación de la información financiera del Emisor</w:t>
            </w:r>
            <w:r w:rsidR="000D5C13">
              <w:rPr>
                <w:rFonts w:ascii="Arial" w:hAnsi="Arial" w:cs="Arial"/>
                <w:sz w:val="20"/>
              </w:rPr>
              <w:t>. De no existir tal documento brinde las explicaciones correspondientes:</w:t>
            </w:r>
          </w:p>
        </w:tc>
      </w:tr>
      <w:tr w:rsidR="009A447C" w:rsidRPr="00E929F3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47C" w:rsidRPr="00E929F3" w:rsidRDefault="00F1330A" w:rsidP="00E929F3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 de febrero de 2019</w:t>
            </w:r>
          </w:p>
        </w:tc>
      </w:tr>
      <w:tr w:rsidR="009A447C" w:rsidRPr="00487B45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A447C" w:rsidRPr="00240247" w:rsidRDefault="000D5C13" w:rsidP="000D5C13">
            <w:pPr>
              <w:numPr>
                <w:ilvl w:val="1"/>
                <w:numId w:val="6"/>
              </w:numPr>
              <w:spacing w:before="4" w:after="4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si la </w:t>
            </w:r>
            <w:r w:rsidR="00DB1A6C" w:rsidRPr="00240247">
              <w:rPr>
                <w:rFonts w:ascii="Arial" w:hAnsi="Arial" w:cs="Arial"/>
                <w:sz w:val="20"/>
                <w:szCs w:val="20"/>
              </w:rPr>
              <w:t xml:space="preserve">SOA </w:t>
            </w:r>
            <w:r w:rsidR="009A447C" w:rsidRPr="00240247">
              <w:rPr>
                <w:rFonts w:ascii="Arial" w:hAnsi="Arial" w:cs="Arial"/>
                <w:sz w:val="20"/>
                <w:szCs w:val="20"/>
              </w:rPr>
              <w:t xml:space="preserve">señalada en el numeral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447C" w:rsidRPr="00240247">
              <w:rPr>
                <w:rFonts w:ascii="Arial" w:hAnsi="Arial" w:cs="Arial"/>
                <w:sz w:val="20"/>
                <w:szCs w:val="20"/>
              </w:rPr>
              <w:t xml:space="preserve">.1 precedente o alguno de sus trabajadores le ha prestado durante los ejercicios 2017, 2018 y lo que va de 2019 al </w:t>
            </w:r>
            <w:r w:rsidR="009A447C" w:rsidRPr="00240247">
              <w:rPr>
                <w:rFonts w:ascii="Arial" w:hAnsi="Arial" w:cs="Arial"/>
                <w:sz w:val="20"/>
              </w:rPr>
              <w:t>Emisor otros tipos de servicios o ha recibido prestaciones (ingresos) del Emisor</w:t>
            </w:r>
            <w:r w:rsidR="00DB1A6C" w:rsidRPr="00240247">
              <w:rPr>
                <w:rFonts w:ascii="Arial" w:hAnsi="Arial" w:cs="Arial"/>
                <w:sz w:val="20"/>
              </w:rPr>
              <w:t xml:space="preserve"> (SI / NO)</w:t>
            </w:r>
            <w:r>
              <w:rPr>
                <w:rFonts w:ascii="Arial" w:hAnsi="Arial" w:cs="Arial"/>
                <w:sz w:val="20"/>
              </w:rPr>
              <w:t>. De ser el caso precise la información relevante que considere importante informar</w:t>
            </w:r>
            <w:r w:rsidR="00DB1A6C" w:rsidRPr="00240247">
              <w:rPr>
                <w:rFonts w:ascii="Arial" w:hAnsi="Arial" w:cs="Arial"/>
                <w:sz w:val="20"/>
              </w:rPr>
              <w:t>:</w:t>
            </w:r>
          </w:p>
        </w:tc>
      </w:tr>
      <w:tr w:rsidR="009A447C" w:rsidRPr="00487B45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47C" w:rsidRPr="00BB4517" w:rsidRDefault="00AB0B80" w:rsidP="00AB0B80">
            <w:pPr>
              <w:tabs>
                <w:tab w:val="left" w:pos="567"/>
              </w:tabs>
              <w:spacing w:before="4" w:after="4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4517">
              <w:rPr>
                <w:rFonts w:ascii="Arial" w:hAnsi="Arial" w:cs="Arial"/>
                <w:b/>
                <w:sz w:val="20"/>
                <w:szCs w:val="20"/>
                <w:u w:val="single"/>
              </w:rPr>
              <w:t>Respuesta</w:t>
            </w:r>
            <w:r w:rsidRPr="00BB45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447C" w:rsidRPr="00E929F3" w:rsidTr="009F2A41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47C" w:rsidRPr="00E929F3" w:rsidRDefault="00F1330A" w:rsidP="00E929F3">
            <w:pPr>
              <w:pStyle w:val="Prrafodelista"/>
              <w:ind w:left="993" w:hanging="426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:rsidR="007D6937" w:rsidRDefault="007D6937" w:rsidP="00AB0B80"/>
    <w:p w:rsidR="007D6937" w:rsidRDefault="007D6937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06"/>
      </w:tblGrid>
      <w:tr w:rsidR="007D6937" w:rsidRPr="00844F26" w:rsidTr="00C61727">
        <w:trPr>
          <w:jc w:val="right"/>
        </w:trPr>
        <w:tc>
          <w:tcPr>
            <w:tcW w:w="0" w:type="auto"/>
          </w:tcPr>
          <w:p w:rsidR="007D6937" w:rsidRPr="00844F26" w:rsidRDefault="007D6937" w:rsidP="00C61727">
            <w:pPr>
              <w:jc w:val="right"/>
              <w:rPr>
                <w:rFonts w:ascii="Arial" w:hAnsi="Arial" w:cs="Arial"/>
                <w:sz w:val="22"/>
                <w:lang w:val="es-PE"/>
              </w:rPr>
            </w:pPr>
            <w:r w:rsidRPr="00844F26">
              <w:rPr>
                <w:rFonts w:ascii="Arial" w:hAnsi="Arial" w:cs="Arial"/>
                <w:sz w:val="22"/>
              </w:rPr>
              <w:lastRenderedPageBreak/>
              <w:t xml:space="preserve">Miraflores, </w:t>
            </w:r>
            <w:r>
              <w:rPr>
                <w:rFonts w:ascii="Arial" w:hAnsi="Arial" w:cs="Arial"/>
                <w:sz w:val="22"/>
              </w:rPr>
              <w:t>25</w:t>
            </w:r>
            <w:r>
              <w:rPr>
                <w:rFonts w:ascii="Arial" w:hAnsi="Arial" w:cs="Arial"/>
                <w:sz w:val="22"/>
                <w:lang w:val="es-PE"/>
              </w:rPr>
              <w:t xml:space="preserve"> de octubre de 2019</w:t>
            </w:r>
          </w:p>
          <w:p w:rsidR="007D6937" w:rsidRPr="00844F26" w:rsidRDefault="007D6937" w:rsidP="00C61727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7D6937" w:rsidRDefault="007D6937" w:rsidP="007D6937">
      <w:pPr>
        <w:jc w:val="both"/>
        <w:rPr>
          <w:rFonts w:ascii="Arial" w:hAnsi="Arial" w:cs="Arial"/>
          <w:b/>
          <w:iCs/>
          <w:sz w:val="22"/>
          <w:u w:val="single"/>
        </w:rPr>
      </w:pPr>
      <w:bookmarkStart w:id="1" w:name="VERIFICACION"/>
      <w:bookmarkEnd w:id="1"/>
      <w:r>
        <w:rPr>
          <w:rFonts w:ascii="Arial" w:hAnsi="Arial" w:cs="Arial"/>
          <w:b/>
          <w:iCs/>
          <w:sz w:val="22"/>
          <w:u w:val="single"/>
        </w:rPr>
        <w:t>CIRCULAR</w:t>
      </w:r>
      <w:r w:rsidRPr="007A4D49">
        <w:rPr>
          <w:rFonts w:ascii="Arial" w:hAnsi="Arial" w:cs="Arial"/>
          <w:b/>
          <w:iCs/>
          <w:sz w:val="22"/>
          <w:u w:val="single"/>
        </w:rPr>
        <w:t xml:space="preserve"> Nº </w:t>
      </w:r>
      <w:r>
        <w:rPr>
          <w:rFonts w:ascii="Arial" w:hAnsi="Arial" w:cs="Arial"/>
          <w:b/>
          <w:iCs/>
          <w:sz w:val="22"/>
          <w:u w:val="single"/>
        </w:rPr>
        <w:t>337-2019-SMV/11</w:t>
      </w:r>
    </w:p>
    <w:p w:rsidR="007D6937" w:rsidRDefault="007D6937" w:rsidP="007D6937">
      <w:pPr>
        <w:jc w:val="both"/>
        <w:rPr>
          <w:rFonts w:ascii="Arial" w:hAnsi="Arial" w:cs="Arial"/>
          <w:b/>
          <w:sz w:val="22"/>
          <w:u w:val="single"/>
        </w:rPr>
      </w:pPr>
    </w:p>
    <w:p w:rsidR="007D6937" w:rsidRPr="006F79D7" w:rsidRDefault="007D6937" w:rsidP="007D6937">
      <w:pPr>
        <w:jc w:val="both"/>
        <w:rPr>
          <w:rFonts w:ascii="Arial" w:hAnsi="Arial" w:cs="Arial"/>
          <w:b/>
          <w:bCs/>
          <w:iCs/>
          <w:sz w:val="22"/>
        </w:rPr>
      </w:pPr>
      <w:r w:rsidRPr="006F79D7">
        <w:rPr>
          <w:rFonts w:ascii="Arial" w:hAnsi="Arial" w:cs="Arial"/>
          <w:b/>
          <w:bCs/>
          <w:iCs/>
          <w:sz w:val="22"/>
        </w:rPr>
        <w:t>Señores</w:t>
      </w:r>
    </w:p>
    <w:p w:rsidR="007D6937" w:rsidRDefault="007D6937" w:rsidP="007D6937">
      <w:pPr>
        <w:jc w:val="both"/>
        <w:rPr>
          <w:rFonts w:ascii="Arial" w:hAnsi="Arial" w:cs="Arial"/>
          <w:b/>
          <w:bCs/>
          <w:iCs/>
          <w:sz w:val="22"/>
          <w:u w:val="single"/>
        </w:rPr>
      </w:pPr>
    </w:p>
    <w:p w:rsidR="007D6937" w:rsidRDefault="007D6937" w:rsidP="007D6937">
      <w:pPr>
        <w:jc w:val="both"/>
        <w:rPr>
          <w:rFonts w:ascii="Arial" w:hAnsi="Arial" w:cs="Arial"/>
          <w:b/>
          <w:bCs/>
          <w:iCs/>
          <w:sz w:val="22"/>
          <w:u w:val="single"/>
        </w:rPr>
      </w:pPr>
    </w:p>
    <w:p w:rsidR="007D6937" w:rsidRPr="006F79D7" w:rsidRDefault="007D6937" w:rsidP="007D6937">
      <w:pPr>
        <w:jc w:val="both"/>
        <w:rPr>
          <w:rFonts w:ascii="Arial" w:hAnsi="Arial" w:cs="Arial"/>
        </w:rPr>
      </w:pPr>
      <w:proofErr w:type="gramStart"/>
      <w:r w:rsidRPr="006F79D7">
        <w:rPr>
          <w:rFonts w:ascii="Arial" w:hAnsi="Arial" w:cs="Arial"/>
          <w:b/>
          <w:bCs/>
          <w:iCs/>
          <w:sz w:val="22"/>
          <w:u w:val="single"/>
        </w:rPr>
        <w:t>Presente</w:t>
      </w:r>
      <w:r w:rsidRPr="006F79D7">
        <w:rPr>
          <w:rFonts w:ascii="Arial" w:hAnsi="Arial" w:cs="Arial"/>
          <w:b/>
          <w:bCs/>
          <w:iCs/>
          <w:sz w:val="22"/>
        </w:rPr>
        <w:t>.-</w:t>
      </w:r>
      <w:proofErr w:type="gramEnd"/>
    </w:p>
    <w:p w:rsidR="007D6937" w:rsidRPr="003613BD" w:rsidRDefault="007D6937" w:rsidP="007D6937">
      <w:pPr>
        <w:spacing w:line="120" w:lineRule="auto"/>
        <w:jc w:val="right"/>
        <w:rPr>
          <w:iCs/>
        </w:rPr>
      </w:pPr>
    </w:p>
    <w:p w:rsidR="007D6937" w:rsidRPr="00EA688F" w:rsidRDefault="007D6937" w:rsidP="007D6937">
      <w:pPr>
        <w:jc w:val="right"/>
        <w:rPr>
          <w:rFonts w:ascii="Arial" w:hAnsi="Arial" w:cs="Arial"/>
          <w:b/>
          <w:iCs/>
          <w:sz w:val="22"/>
        </w:rPr>
      </w:pPr>
      <w:r w:rsidRPr="00EA688F">
        <w:rPr>
          <w:rFonts w:ascii="Arial" w:hAnsi="Arial" w:cs="Arial"/>
          <w:b/>
          <w:iCs/>
          <w:sz w:val="22"/>
        </w:rPr>
        <w:t>Ref.: Circulares Nº 381 y 508-2018-SMV/11.1</w:t>
      </w:r>
    </w:p>
    <w:p w:rsidR="007D6937" w:rsidRPr="00EA688F" w:rsidRDefault="007D6937" w:rsidP="007D6937">
      <w:pPr>
        <w:jc w:val="right"/>
        <w:rPr>
          <w:rFonts w:ascii="Arial" w:hAnsi="Arial" w:cs="Arial"/>
          <w:b/>
          <w:iCs/>
          <w:sz w:val="22"/>
        </w:rPr>
      </w:pPr>
      <w:r w:rsidRPr="00EA688F">
        <w:rPr>
          <w:rFonts w:ascii="Arial" w:hAnsi="Arial" w:cs="Arial"/>
          <w:b/>
          <w:iCs/>
          <w:sz w:val="22"/>
        </w:rPr>
        <w:t>Circulares Nº 060</w:t>
      </w:r>
      <w:r>
        <w:rPr>
          <w:rFonts w:ascii="Arial" w:hAnsi="Arial" w:cs="Arial"/>
          <w:b/>
          <w:iCs/>
          <w:sz w:val="22"/>
        </w:rPr>
        <w:t>,</w:t>
      </w:r>
      <w:r w:rsidRPr="00EA688F">
        <w:rPr>
          <w:rFonts w:ascii="Arial" w:hAnsi="Arial" w:cs="Arial"/>
          <w:b/>
          <w:iCs/>
          <w:sz w:val="22"/>
        </w:rPr>
        <w:t xml:space="preserve"> 065</w:t>
      </w:r>
      <w:r>
        <w:rPr>
          <w:rFonts w:ascii="Arial" w:hAnsi="Arial" w:cs="Arial"/>
          <w:b/>
          <w:iCs/>
          <w:sz w:val="22"/>
        </w:rPr>
        <w:t xml:space="preserve"> y 240</w:t>
      </w:r>
      <w:r w:rsidRPr="00EA688F">
        <w:rPr>
          <w:rFonts w:ascii="Arial" w:hAnsi="Arial" w:cs="Arial"/>
          <w:b/>
          <w:iCs/>
          <w:sz w:val="22"/>
        </w:rPr>
        <w:t>-2019-SMV/11.1</w:t>
      </w:r>
    </w:p>
    <w:p w:rsidR="007D6937" w:rsidRDefault="007D6937" w:rsidP="007D6937">
      <w:pPr>
        <w:pStyle w:val="Ttulo7"/>
        <w:ind w:left="4678"/>
        <w:jc w:val="right"/>
        <w:rPr>
          <w:lang w:val="es-PE"/>
        </w:rPr>
      </w:pPr>
      <w:r w:rsidRPr="006F79D7">
        <w:rPr>
          <w:iCs/>
        </w:rPr>
        <w:t xml:space="preserve">Expediente Nº </w:t>
      </w:r>
      <w:r w:rsidRPr="006F79D7">
        <w:rPr>
          <w:lang w:val="es-PE"/>
        </w:rPr>
        <w:t>2019042481</w:t>
      </w:r>
    </w:p>
    <w:p w:rsidR="007D6937" w:rsidRPr="004316A1" w:rsidRDefault="007D6937" w:rsidP="007D6937">
      <w:pPr>
        <w:rPr>
          <w:lang w:val="es-PE"/>
        </w:rPr>
      </w:pPr>
    </w:p>
    <w:p w:rsidR="007D6937" w:rsidRDefault="007D6937" w:rsidP="007D6937">
      <w:pPr>
        <w:spacing w:after="120"/>
        <w:ind w:firstLine="2126"/>
        <w:jc w:val="both"/>
        <w:rPr>
          <w:rFonts w:ascii="Arial" w:hAnsi="Arial" w:cs="Arial"/>
          <w:sz w:val="22"/>
        </w:rPr>
      </w:pPr>
      <w:r w:rsidRPr="008D683B">
        <w:rPr>
          <w:rFonts w:ascii="Arial" w:hAnsi="Arial" w:cs="Arial"/>
          <w:sz w:val="22"/>
        </w:rPr>
        <w:t>Me dirijo a usted</w:t>
      </w:r>
      <w:r>
        <w:rPr>
          <w:rFonts w:ascii="Arial" w:hAnsi="Arial" w:cs="Arial"/>
          <w:sz w:val="22"/>
        </w:rPr>
        <w:t>es</w:t>
      </w:r>
      <w:r w:rsidRPr="008D683B">
        <w:rPr>
          <w:rFonts w:ascii="Arial" w:hAnsi="Arial" w:cs="Arial"/>
          <w:sz w:val="22"/>
        </w:rPr>
        <w:t xml:space="preserve"> con relación a las Circulares de la referencia mediante las cuales, entre otros, se le hizo de conocimiento que esta Superintendencia del Mercado de Valores ─ SMV </w:t>
      </w:r>
      <w:r>
        <w:rPr>
          <w:rFonts w:ascii="Arial" w:hAnsi="Arial" w:cs="Arial"/>
          <w:sz w:val="22"/>
        </w:rPr>
        <w:t>desplegaría</w:t>
      </w:r>
      <w:r w:rsidRPr="008D683B">
        <w:rPr>
          <w:rFonts w:ascii="Arial" w:hAnsi="Arial" w:cs="Arial"/>
          <w:sz w:val="22"/>
        </w:rPr>
        <w:t xml:space="preserve"> actividades de supervisión respecto del “Reporte sobre el Cumplimiento del Código de Buen Gobierno Corporativo para las Sociedades Peruanas” correspondiente al ejercicio 201</w:t>
      </w:r>
      <w:r>
        <w:rPr>
          <w:rFonts w:ascii="Arial" w:hAnsi="Arial" w:cs="Arial"/>
          <w:sz w:val="22"/>
        </w:rPr>
        <w:t xml:space="preserve">8 </w:t>
      </w:r>
      <w:r w:rsidRPr="008D683B">
        <w:rPr>
          <w:rFonts w:ascii="Arial" w:hAnsi="Arial" w:cs="Arial"/>
          <w:sz w:val="22"/>
        </w:rPr>
        <w:t xml:space="preserve">(en adelante, </w:t>
      </w:r>
      <w:r w:rsidRPr="008D683B">
        <w:rPr>
          <w:rFonts w:ascii="Arial" w:hAnsi="Arial" w:cs="Arial"/>
          <w:smallCaps/>
          <w:sz w:val="22"/>
        </w:rPr>
        <w:t>Reporte</w:t>
      </w:r>
      <w:r>
        <w:rPr>
          <w:rFonts w:ascii="Arial" w:hAnsi="Arial" w:cs="Arial"/>
          <w:smallCaps/>
          <w:sz w:val="22"/>
        </w:rPr>
        <w:t xml:space="preserve"> 2018</w:t>
      </w:r>
      <w:r w:rsidRPr="008D683B">
        <w:rPr>
          <w:rFonts w:ascii="Arial" w:hAnsi="Arial" w:cs="Arial"/>
          <w:sz w:val="22"/>
        </w:rPr>
        <w:t>).</w:t>
      </w:r>
      <w:r>
        <w:rPr>
          <w:rStyle w:val="Refdenotaalpie"/>
          <w:rFonts w:ascii="Arial" w:hAnsi="Arial" w:cs="Arial"/>
          <w:sz w:val="22"/>
        </w:rPr>
        <w:footnoteReference w:id="2"/>
      </w:r>
    </w:p>
    <w:p w:rsidR="007D6937" w:rsidRDefault="007D6937" w:rsidP="007D6937">
      <w:pPr>
        <w:spacing w:after="120"/>
        <w:ind w:firstLine="2126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>Al respecto, es necesario señalar que la promoción del desarrollo ordenado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 y sostenible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 xml:space="preserve"> del mercado de valores es una finalidad de la normativa </w:t>
      </w:r>
      <w:r>
        <w:rPr>
          <w:rFonts w:ascii="Arial" w:eastAsia="Calibri" w:hAnsi="Arial" w:cs="Arial"/>
          <w:sz w:val="22"/>
          <w:szCs w:val="22"/>
          <w:lang w:val="es-PE" w:eastAsia="en-US"/>
        </w:rPr>
        <w:t>correspondiente y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 xml:space="preserve"> en ese marco, 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la adopción voluntaria y efectiva de 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 xml:space="preserve">los principios 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y/o prácticas 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 xml:space="preserve">de buen gobierno corporativo 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por parte de las empresas emisoras de valores 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 xml:space="preserve">—de cuya observancia se da cuenta en el </w:t>
      </w:r>
      <w:r w:rsidRPr="00D72FF1">
        <w:rPr>
          <w:rFonts w:ascii="Arial" w:eastAsia="Calibri" w:hAnsi="Arial" w:cs="Arial"/>
          <w:smallCaps/>
          <w:sz w:val="22"/>
          <w:szCs w:val="22"/>
          <w:lang w:val="es-PE" w:eastAsia="en-US"/>
        </w:rPr>
        <w:t>Reporte 201</w:t>
      </w:r>
      <w:r>
        <w:rPr>
          <w:rFonts w:ascii="Arial" w:eastAsia="Calibri" w:hAnsi="Arial" w:cs="Arial"/>
          <w:smallCaps/>
          <w:sz w:val="22"/>
          <w:szCs w:val="22"/>
          <w:lang w:val="es-PE" w:eastAsia="en-US"/>
        </w:rPr>
        <w:t>8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>—</w:t>
      </w:r>
      <w:r>
        <w:rPr>
          <w:rFonts w:ascii="Arial" w:eastAsia="Calibri" w:hAnsi="Arial" w:cs="Arial"/>
          <w:sz w:val="22"/>
          <w:szCs w:val="22"/>
          <w:lang w:val="es-PE" w:eastAsia="en-US"/>
        </w:rPr>
        <w:t>son un factor fundamental que evidencia el compromiso social y real de las personas que controlan y gestionan las empresas.</w:t>
      </w:r>
    </w:p>
    <w:p w:rsidR="007D6937" w:rsidRDefault="007D6937" w:rsidP="007D6937">
      <w:pPr>
        <w:ind w:firstLine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En efecto, el gobierno corporativo: (1) Es el marco que gobierna los objetivos de una empresa que comprende la estrategia y gestión que va desde los planes de acción, ejecución de los objetivos empresariales, controles internos, gestión de riesgos, entre otros, hasta la medición de los resultados y la transparencia corporativa, (2) constituye el equilibrio de los intereses de todas las partes (accionistas, trabajadores, clientes proveedores, gobierno y sociedad), (3) es elemento sustancial y complementario de la transparencia e integridad corporativa, (4) refleja el 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 xml:space="preserve">clima de respeto </w:t>
      </w:r>
      <w:r>
        <w:rPr>
          <w:rFonts w:ascii="Arial" w:eastAsia="Calibri" w:hAnsi="Arial" w:cs="Arial"/>
          <w:sz w:val="22"/>
          <w:szCs w:val="22"/>
          <w:lang w:val="es-PE" w:eastAsia="en-US"/>
        </w:rPr>
        <w:t>por la sociedad y por el medio ambiente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 xml:space="preserve">, y 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(5) 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 xml:space="preserve">contribuye a 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mejorar la reputación y 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>la generación de valor en la economía de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l </w:t>
      </w:r>
      <w:r w:rsidRPr="00D72FF1">
        <w:rPr>
          <w:rFonts w:ascii="Arial" w:eastAsia="Calibri" w:hAnsi="Arial" w:cs="Arial"/>
          <w:sz w:val="22"/>
          <w:szCs w:val="22"/>
          <w:lang w:val="es-PE" w:eastAsia="en-US"/>
        </w:rPr>
        <w:t>país</w:t>
      </w:r>
      <w:r>
        <w:rPr>
          <w:rFonts w:ascii="Arial" w:eastAsia="Calibri" w:hAnsi="Arial" w:cs="Arial"/>
          <w:sz w:val="22"/>
          <w:szCs w:val="22"/>
          <w:lang w:val="es-PE" w:eastAsia="en-US"/>
        </w:rPr>
        <w:t>. </w:t>
      </w:r>
      <w:r w:rsidRPr="00E812D0">
        <w:rPr>
          <w:rFonts w:ascii="Arial" w:eastAsia="Calibri" w:hAnsi="Arial" w:cs="Arial"/>
          <w:sz w:val="22"/>
          <w:szCs w:val="22"/>
          <w:lang w:val="es-PE" w:eastAsia="en-US"/>
        </w:rPr>
        <w:t xml:space="preserve">Cabe destacar, que el referente nacional sobre prácticas de Gobierno Corporativo es el </w:t>
      </w:r>
      <w:r w:rsidRPr="00E812D0">
        <w:rPr>
          <w:rFonts w:ascii="Arial" w:hAnsi="Arial" w:cs="Arial"/>
          <w:sz w:val="22"/>
          <w:szCs w:val="22"/>
        </w:rPr>
        <w:t>Código de Buen Gobierno Corporativo para las Sociedades Peruanas del 2013 que se encuentra disponible en el enlace web:</w:t>
      </w:r>
    </w:p>
    <w:p w:rsidR="007D6937" w:rsidRDefault="00893D49" w:rsidP="007D6937">
      <w:pPr>
        <w:spacing w:after="120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hyperlink r:id="rId9" w:history="1">
        <w:r w:rsidR="007D6937" w:rsidRPr="0010073B">
          <w:rPr>
            <w:rStyle w:val="Hipervnculo"/>
            <w:rFonts w:ascii="Arial" w:hAnsi="Arial" w:cs="Arial"/>
            <w:sz w:val="20"/>
          </w:rPr>
          <w:t>http://www.smv.gob.pe/Frm_VerPublicacion?data=21F6B4741320CE00DA66A755414E074565401A138DB5F3C16D5DC79156</w:t>
        </w:r>
      </w:hyperlink>
      <w:r w:rsidR="007D6937">
        <w:rPr>
          <w:rFonts w:ascii="Arial" w:hAnsi="Arial" w:cs="Arial"/>
          <w:sz w:val="20"/>
        </w:rPr>
        <w:t>.</w:t>
      </w:r>
    </w:p>
    <w:p w:rsidR="007D6937" w:rsidRDefault="007D6937" w:rsidP="007D6937">
      <w:pPr>
        <w:spacing w:after="120"/>
        <w:ind w:firstLine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la importancia de la revelación de la información sobre el grado de adhesión a los principios de buen gobierno corporativo por los aspectos anotados en el párrafo precedente, se requiere a su representada para que proceda a la remisión de la información y documentación que se detalla en el ANEXO.</w:t>
      </w:r>
    </w:p>
    <w:p w:rsidR="007D6937" w:rsidRDefault="007D6937" w:rsidP="007D6937">
      <w:pPr>
        <w:spacing w:after="120"/>
        <w:ind w:firstLine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presente requerimiento está referido fundamentalmente a la información revelada en el numeral IV.4.b.</w:t>
      </w:r>
      <w:r>
        <w:rPr>
          <w:rStyle w:val="Refdenotaalpie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, </w:t>
      </w:r>
      <w:bookmarkStart w:id="2" w:name="_Toc370721920"/>
      <w:r w:rsidRPr="00A964A2">
        <w:rPr>
          <w:rStyle w:val="Ttulo2Car"/>
          <w:b w:val="0"/>
          <w:color w:val="000000"/>
          <w:sz w:val="22"/>
          <w:szCs w:val="22"/>
        </w:rPr>
        <w:t>Pilar I</w:t>
      </w:r>
      <w:r>
        <w:rPr>
          <w:rStyle w:val="Ttulo2Car"/>
          <w:b w:val="0"/>
          <w:color w:val="000000"/>
          <w:sz w:val="22"/>
          <w:szCs w:val="22"/>
        </w:rPr>
        <w:t>V</w:t>
      </w:r>
      <w:r w:rsidRPr="00A964A2">
        <w:rPr>
          <w:rStyle w:val="Ttulo2Car"/>
          <w:b w:val="0"/>
          <w:color w:val="000000"/>
          <w:sz w:val="22"/>
          <w:szCs w:val="22"/>
        </w:rPr>
        <w:t xml:space="preserve">: </w:t>
      </w:r>
      <w:r>
        <w:rPr>
          <w:rStyle w:val="Ttulo2Car"/>
          <w:b w:val="0"/>
          <w:color w:val="000000"/>
          <w:sz w:val="22"/>
          <w:szCs w:val="22"/>
        </w:rPr>
        <w:t>Riesgo y Cumplimiento</w:t>
      </w:r>
      <w:bookmarkEnd w:id="2"/>
      <w:r>
        <w:rPr>
          <w:rStyle w:val="Ttulo2Car"/>
          <w:b w:val="0"/>
          <w:color w:val="000000"/>
          <w:sz w:val="22"/>
          <w:szCs w:val="22"/>
        </w:rPr>
        <w:t>,</w:t>
      </w:r>
      <w:r w:rsidRPr="00D9601C">
        <w:rPr>
          <w:rStyle w:val="Ttulo2Car"/>
          <w:b w:val="0"/>
          <w:color w:val="000000"/>
          <w:sz w:val="22"/>
          <w:szCs w:val="22"/>
        </w:rPr>
        <w:t xml:space="preserve"> </w:t>
      </w:r>
      <w:r>
        <w:rPr>
          <w:rStyle w:val="Ttulo2Car"/>
          <w:b w:val="0"/>
          <w:color w:val="000000"/>
          <w:sz w:val="22"/>
          <w:szCs w:val="22"/>
        </w:rPr>
        <w:t xml:space="preserve">Principio </w:t>
      </w:r>
      <w:r>
        <w:rPr>
          <w:rStyle w:val="Ttulo2Car"/>
          <w:b w:val="0"/>
          <w:color w:val="000000"/>
          <w:sz w:val="22"/>
          <w:szCs w:val="22"/>
        </w:rPr>
        <w:lastRenderedPageBreak/>
        <w:t>26</w:t>
      </w:r>
      <w:r>
        <w:rPr>
          <w:rStyle w:val="Refdenotaalpie"/>
          <w:rFonts w:ascii="Arial" w:hAnsi="Arial" w:cs="Arial"/>
          <w:bCs/>
          <w:color w:val="000000"/>
          <w:sz w:val="22"/>
          <w:szCs w:val="22"/>
          <w:lang w:val="es-PE"/>
        </w:rPr>
        <w:footnoteReference w:id="4"/>
      </w:r>
      <w:r>
        <w:rPr>
          <w:rStyle w:val="Ttulo2Car"/>
          <w:b w:val="0"/>
          <w:color w:val="000000"/>
          <w:sz w:val="22"/>
          <w:szCs w:val="22"/>
        </w:rPr>
        <w:t xml:space="preserve">: </w:t>
      </w:r>
      <w:r w:rsidRPr="00C20F41">
        <w:rPr>
          <w:rFonts w:ascii="Arial" w:hAnsi="Arial" w:cs="Arial"/>
          <w:sz w:val="22"/>
          <w:szCs w:val="22"/>
        </w:rPr>
        <w:t>Auditoría</w:t>
      </w:r>
      <w:r w:rsidRPr="00C20F41">
        <w:rPr>
          <w:bCs/>
        </w:rPr>
        <w:t xml:space="preserve"> </w:t>
      </w:r>
      <w:r w:rsidRPr="00C20F41">
        <w:rPr>
          <w:rFonts w:ascii="Arial" w:hAnsi="Arial" w:cs="Arial"/>
          <w:sz w:val="22"/>
          <w:szCs w:val="22"/>
        </w:rPr>
        <w:t>interna</w:t>
      </w:r>
      <w:r>
        <w:rPr>
          <w:rFonts w:ascii="Arial" w:hAnsi="Arial" w:cs="Arial"/>
          <w:sz w:val="22"/>
          <w:szCs w:val="22"/>
        </w:rPr>
        <w:t xml:space="preserve">, en el sentido que su representada ha declarado que su auditor interno está encargado de la </w:t>
      </w:r>
      <w:r w:rsidRPr="00FB5802">
        <w:rPr>
          <w:rFonts w:ascii="Arial" w:hAnsi="Arial" w:cs="Arial"/>
          <w:sz w:val="22"/>
          <w:szCs w:val="22"/>
        </w:rPr>
        <w:t xml:space="preserve">evaluación permanente de que toda la información financiera generada o registrada por la sociedad sea válida y confiable, así como </w:t>
      </w:r>
      <w:r>
        <w:rPr>
          <w:rFonts w:ascii="Arial" w:hAnsi="Arial" w:cs="Arial"/>
          <w:sz w:val="22"/>
          <w:szCs w:val="22"/>
        </w:rPr>
        <w:t xml:space="preserve">de </w:t>
      </w:r>
      <w:r w:rsidRPr="00FB5802">
        <w:rPr>
          <w:rFonts w:ascii="Arial" w:hAnsi="Arial" w:cs="Arial"/>
          <w:sz w:val="22"/>
          <w:szCs w:val="22"/>
        </w:rPr>
        <w:t>verificar la eficacia del cumplimiento normativo</w:t>
      </w:r>
      <w:r>
        <w:rPr>
          <w:rFonts w:ascii="Arial" w:hAnsi="Arial" w:cs="Arial"/>
          <w:sz w:val="22"/>
          <w:szCs w:val="22"/>
        </w:rPr>
        <w:t xml:space="preserve">. </w:t>
      </w:r>
      <w:r w:rsidRPr="004E0FFB">
        <w:rPr>
          <w:rFonts w:ascii="Arial" w:hAnsi="Arial" w:cs="Arial"/>
          <w:sz w:val="22"/>
          <w:szCs w:val="22"/>
        </w:rPr>
        <w:t>En relación con ello,</w:t>
      </w:r>
      <w:r>
        <w:rPr>
          <w:rFonts w:ascii="Arial" w:hAnsi="Arial" w:cs="Arial"/>
          <w:sz w:val="22"/>
          <w:szCs w:val="22"/>
        </w:rPr>
        <w:t xml:space="preserve"> es preciso destacar que en el tercer párrafo del Principio 25 se señala que: </w:t>
      </w:r>
      <w:r w:rsidRPr="00932F29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(…) </w:t>
      </w:r>
      <w:r w:rsidRPr="00B25E28">
        <w:rPr>
          <w:rFonts w:ascii="Arial" w:hAnsi="Arial" w:cs="Arial"/>
          <w:b/>
          <w:i/>
          <w:sz w:val="22"/>
          <w:szCs w:val="22"/>
          <w:u w:val="single"/>
        </w:rPr>
        <w:t>El Directorio de la sociedad es responsable de la existencia de un sistema de control interno y externo, así como de supervisar su eficacia e idoneidad</w:t>
      </w:r>
      <w:r w:rsidRPr="00932F29">
        <w:rPr>
          <w:rFonts w:ascii="Arial" w:hAnsi="Arial" w:cs="Arial"/>
          <w:i/>
          <w:sz w:val="22"/>
          <w:szCs w:val="22"/>
        </w:rPr>
        <w:t>. Para tal efecto, constituye un Comité de Auditoría.”</w:t>
      </w:r>
    </w:p>
    <w:p w:rsidR="007D6937" w:rsidRDefault="007D6937" w:rsidP="007D6937">
      <w:pPr>
        <w:spacing w:after="120"/>
        <w:ind w:firstLine="2126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121CB8">
        <w:rPr>
          <w:rFonts w:ascii="Arial" w:eastAsia="Calibri" w:hAnsi="Arial" w:cs="Arial"/>
          <w:sz w:val="22"/>
          <w:szCs w:val="22"/>
          <w:lang w:val="es-PE" w:eastAsia="en-US"/>
        </w:rPr>
        <w:t>El presente requerimiento debe ser atendido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 mediante </w:t>
      </w:r>
      <w:r>
        <w:rPr>
          <w:rFonts w:ascii="Arial" w:hAnsi="Arial" w:cs="Arial"/>
          <w:sz w:val="22"/>
          <w:szCs w:val="22"/>
        </w:rPr>
        <w:t>la remisión de la información y documentación que se detalla en el ANEXO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 hasta el 29 de noviembre de 2019, </w:t>
      </w:r>
      <w:r w:rsidRPr="004A6324">
        <w:rPr>
          <w:rFonts w:ascii="Arial" w:eastAsia="Calibri" w:hAnsi="Arial" w:cs="Arial"/>
          <w:b/>
          <w:sz w:val="22"/>
          <w:szCs w:val="22"/>
          <w:lang w:val="es-PE" w:eastAsia="en-US"/>
        </w:rPr>
        <w:t>por la vía de los hechos de importancia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 y </w:t>
      </w:r>
      <w:r w:rsidRPr="00201694">
        <w:rPr>
          <w:rFonts w:ascii="Arial" w:eastAsia="Calibri" w:hAnsi="Arial" w:cs="Arial"/>
          <w:b/>
          <w:sz w:val="22"/>
          <w:szCs w:val="22"/>
          <w:lang w:val="es-PE" w:eastAsia="en-US"/>
        </w:rPr>
        <w:t xml:space="preserve">en formato </w:t>
      </w:r>
      <w:r w:rsidRPr="004A6324">
        <w:rPr>
          <w:rFonts w:ascii="Arial" w:eastAsia="Calibri" w:hAnsi="Arial" w:cs="Arial"/>
          <w:b/>
          <w:sz w:val="22"/>
          <w:szCs w:val="22"/>
          <w:lang w:val="es-PE" w:eastAsia="en-US"/>
        </w:rPr>
        <w:t xml:space="preserve">Microsoft </w:t>
      </w:r>
      <w:r w:rsidRPr="00B56FD2">
        <w:rPr>
          <w:rFonts w:ascii="Arial" w:eastAsia="Calibri" w:hAnsi="Arial" w:cs="Arial"/>
          <w:b/>
          <w:sz w:val="22"/>
          <w:szCs w:val="22"/>
          <w:lang w:val="es-PE" w:eastAsia="en-US"/>
        </w:rPr>
        <w:t>Word</w:t>
      </w:r>
      <w:r w:rsidRPr="00B56FD2">
        <w:rPr>
          <w:rStyle w:val="Refdenotaalpie"/>
          <w:rFonts w:ascii="Arial" w:eastAsia="Calibri" w:hAnsi="Arial" w:cs="Arial"/>
          <w:b/>
          <w:sz w:val="22"/>
          <w:szCs w:val="22"/>
          <w:lang w:val="es-PE" w:eastAsia="en-US"/>
        </w:rPr>
        <w:footnoteReference w:id="5"/>
      </w:r>
      <w:r w:rsidRPr="00B56FD2">
        <w:rPr>
          <w:rFonts w:ascii="Arial" w:eastAsia="Calibri" w:hAnsi="Arial" w:cs="Arial"/>
          <w:sz w:val="22"/>
          <w:szCs w:val="22"/>
          <w:lang w:val="es-PE" w:eastAsia="en-US"/>
        </w:rPr>
        <w:t>,</w:t>
      </w:r>
      <w:r w:rsidRPr="0018734D">
        <w:rPr>
          <w:rFonts w:ascii="Arial" w:eastAsia="Calibri" w:hAnsi="Arial" w:cs="Arial"/>
          <w:sz w:val="22"/>
          <w:szCs w:val="22"/>
          <w:lang w:val="es-PE" w:eastAsia="en-US"/>
        </w:rPr>
        <w:t xml:space="preserve"> debiendo incluir una copia del presente oficio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, utilizando la ruta del </w:t>
      </w:r>
      <w:r w:rsidRPr="00596C02">
        <w:rPr>
          <w:rFonts w:ascii="Arial" w:eastAsia="Calibri" w:hAnsi="Arial" w:cs="Arial"/>
          <w:sz w:val="22"/>
          <w:szCs w:val="22"/>
          <w:lang w:val="es-PE" w:eastAsia="en-US"/>
        </w:rPr>
        <w:t xml:space="preserve">Sistema </w:t>
      </w:r>
      <w:proofErr w:type="spellStart"/>
      <w:r w:rsidRPr="00596C02">
        <w:rPr>
          <w:rFonts w:ascii="Arial" w:eastAsia="Calibri" w:hAnsi="Arial" w:cs="Arial"/>
          <w:sz w:val="22"/>
          <w:szCs w:val="22"/>
          <w:lang w:val="es-PE" w:eastAsia="en-US"/>
        </w:rPr>
        <w:t>MVNet</w:t>
      </w:r>
      <w:proofErr w:type="spellEnd"/>
      <w:r w:rsidRPr="00596C02">
        <w:rPr>
          <w:rFonts w:ascii="Arial" w:eastAsia="Calibri" w:hAnsi="Arial" w:cs="Arial"/>
          <w:sz w:val="22"/>
          <w:szCs w:val="22"/>
          <w:lang w:val="es-PE" w:eastAsia="en-US"/>
        </w:rPr>
        <w:t xml:space="preserve"> siguiente: </w:t>
      </w:r>
      <w:r>
        <w:rPr>
          <w:rFonts w:ascii="Arial" w:eastAsia="Calibri" w:hAnsi="Arial" w:cs="Arial"/>
          <w:sz w:val="22"/>
          <w:szCs w:val="22"/>
          <w:lang w:val="es-PE" w:eastAsia="en-US"/>
        </w:rPr>
        <w:t>«</w:t>
      </w:r>
      <w:r w:rsidRPr="00596C02">
        <w:rPr>
          <w:rFonts w:ascii="Arial" w:eastAsia="Calibri" w:hAnsi="Arial" w:cs="Arial"/>
          <w:sz w:val="22"/>
          <w:szCs w:val="22"/>
          <w:lang w:val="es-PE" w:eastAsia="en-US"/>
        </w:rPr>
        <w:t>Obligaciones de Información</w:t>
      </w:r>
      <w:r>
        <w:rPr>
          <w:rFonts w:ascii="Arial" w:eastAsia="Calibri" w:hAnsi="Arial" w:cs="Arial"/>
          <w:sz w:val="22"/>
          <w:szCs w:val="22"/>
          <w:lang w:val="es-PE" w:eastAsia="en-US"/>
        </w:rPr>
        <w:t>» «</w:t>
      </w:r>
      <w:r w:rsidRPr="00596C02">
        <w:rPr>
          <w:rFonts w:ascii="Arial" w:eastAsia="Calibri" w:hAnsi="Arial" w:cs="Arial"/>
          <w:sz w:val="22"/>
          <w:szCs w:val="22"/>
          <w:lang w:val="es-PE" w:eastAsia="en-US"/>
        </w:rPr>
        <w:t>Hechos de Importancia</w:t>
      </w:r>
      <w:r>
        <w:rPr>
          <w:rFonts w:ascii="Arial" w:eastAsia="Calibri" w:hAnsi="Arial" w:cs="Arial"/>
          <w:sz w:val="22"/>
          <w:szCs w:val="22"/>
          <w:lang w:val="es-PE" w:eastAsia="en-US"/>
        </w:rPr>
        <w:t>»</w:t>
      </w:r>
      <w:r w:rsidRPr="00596C02">
        <w:rPr>
          <w:rFonts w:ascii="Arial" w:eastAsia="Calibr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PE" w:eastAsia="en-US"/>
        </w:rPr>
        <w:t>«</w:t>
      </w:r>
      <w:r w:rsidRPr="00596C02">
        <w:rPr>
          <w:rFonts w:ascii="Arial" w:eastAsia="Calibri" w:hAnsi="Arial" w:cs="Arial"/>
          <w:sz w:val="22"/>
          <w:szCs w:val="22"/>
          <w:lang w:val="es-PE" w:eastAsia="en-US"/>
        </w:rPr>
        <w:t>Otros Hechos de Importancia</w:t>
      </w:r>
      <w:r>
        <w:rPr>
          <w:rFonts w:ascii="Arial" w:eastAsia="Calibri" w:hAnsi="Arial" w:cs="Arial"/>
          <w:sz w:val="22"/>
          <w:szCs w:val="22"/>
          <w:lang w:val="es-PE" w:eastAsia="en-US"/>
        </w:rPr>
        <w:t>»</w:t>
      </w:r>
      <w:r w:rsidRPr="0018734D">
        <w:rPr>
          <w:rFonts w:ascii="Arial" w:eastAsia="Calibri" w:hAnsi="Arial" w:cs="Arial"/>
          <w:sz w:val="22"/>
          <w:szCs w:val="22"/>
          <w:lang w:val="es-PE" w:eastAsia="en-US"/>
        </w:rPr>
        <w:t>.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 Es preciso indicar que la información requerida es aquella que posee su representada y que ha servido de sustento para elaborar el </w:t>
      </w:r>
      <w:r w:rsidRPr="003D63B5">
        <w:rPr>
          <w:rFonts w:ascii="Arial" w:hAnsi="Arial" w:cs="Arial"/>
          <w:smallCaps/>
          <w:sz w:val="22"/>
        </w:rPr>
        <w:t>Reporte</w:t>
      </w:r>
      <w:r>
        <w:rPr>
          <w:rFonts w:ascii="Arial" w:eastAsia="Calibri" w:hAnsi="Arial" w:cs="Arial"/>
          <w:sz w:val="22"/>
          <w:szCs w:val="22"/>
          <w:lang w:val="es-PE" w:eastAsia="en-US"/>
        </w:rPr>
        <w:t xml:space="preserve"> 2018, y que la evaluación de que lo requerido sea atendido, del contenido de lo que sea difundido por su representada y demás aspectos, serán objeto de evaluación por la Intendencia General de Supervisión de Conductas de la SMV.</w:t>
      </w:r>
    </w:p>
    <w:p w:rsidR="007D6937" w:rsidRDefault="007D6937" w:rsidP="007D6937">
      <w:pPr>
        <w:spacing w:after="120"/>
        <w:ind w:firstLine="2126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5B3C7B">
        <w:rPr>
          <w:rFonts w:ascii="Arial" w:eastAsia="Calibri" w:hAnsi="Arial" w:cs="Arial"/>
          <w:sz w:val="22"/>
          <w:szCs w:val="22"/>
          <w:lang w:val="es-PE" w:eastAsia="en-US"/>
        </w:rPr>
        <w:t xml:space="preserve">De tener alguna </w:t>
      </w:r>
      <w:r w:rsidRPr="00793177">
        <w:rPr>
          <w:rFonts w:ascii="Arial" w:eastAsia="Calibri" w:hAnsi="Arial" w:cs="Arial"/>
          <w:sz w:val="22"/>
          <w:szCs w:val="22"/>
          <w:lang w:val="es-PE" w:eastAsia="en-US"/>
        </w:rPr>
        <w:t xml:space="preserve">consulta sobre el presente requerimiento puede </w:t>
      </w:r>
      <w:r w:rsidRPr="00CD3B12">
        <w:rPr>
          <w:rFonts w:ascii="Arial" w:eastAsia="Calibri" w:hAnsi="Arial" w:cs="Arial"/>
          <w:sz w:val="22"/>
          <w:szCs w:val="22"/>
          <w:lang w:val="es-PE" w:eastAsia="en-US"/>
        </w:rPr>
        <w:t>comunicarse al teléfono 610-6300 anexos 5142 o 5117.</w:t>
      </w:r>
    </w:p>
    <w:p w:rsidR="007D6937" w:rsidRPr="00121CB8" w:rsidRDefault="007D6937" w:rsidP="007D6937">
      <w:pPr>
        <w:spacing w:after="120"/>
        <w:ind w:firstLine="2126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121CB8">
        <w:rPr>
          <w:rFonts w:ascii="Arial" w:eastAsia="Calibri" w:hAnsi="Arial" w:cs="Arial"/>
          <w:sz w:val="22"/>
          <w:szCs w:val="22"/>
          <w:lang w:val="es-PE" w:eastAsia="en-US"/>
        </w:rPr>
        <w:t>Sin o</w:t>
      </w:r>
      <w:r>
        <w:rPr>
          <w:rFonts w:ascii="Arial" w:eastAsia="Calibri" w:hAnsi="Arial" w:cs="Arial"/>
          <w:sz w:val="22"/>
          <w:szCs w:val="22"/>
          <w:lang w:val="es-PE" w:eastAsia="en-US"/>
        </w:rPr>
        <w:t>tro particular, quedo de usted.</w:t>
      </w:r>
    </w:p>
    <w:p w:rsidR="007D6937" w:rsidRDefault="007D6937" w:rsidP="007D693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Atentamente,</w:t>
      </w:r>
    </w:p>
    <w:p w:rsidR="007D6937" w:rsidRDefault="007D6937" w:rsidP="007D6937">
      <w:pPr>
        <w:jc w:val="center"/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106045</wp:posOffset>
            </wp:positionV>
            <wp:extent cx="2619375" cy="104648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t="51341" r="61920" b="2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937" w:rsidRDefault="007D6937" w:rsidP="007D6937">
      <w:pPr>
        <w:jc w:val="center"/>
        <w:rPr>
          <w:noProof/>
          <w:lang w:val="es-PE" w:eastAsia="es-PE"/>
        </w:rPr>
      </w:pPr>
    </w:p>
    <w:p w:rsidR="007D6937" w:rsidRDefault="007D6937" w:rsidP="007D6937">
      <w:pPr>
        <w:jc w:val="center"/>
        <w:rPr>
          <w:noProof/>
          <w:lang w:val="es-PE" w:eastAsia="es-PE"/>
        </w:rPr>
      </w:pPr>
    </w:p>
    <w:p w:rsidR="007D6937" w:rsidRDefault="007D6937" w:rsidP="007D6937">
      <w:pPr>
        <w:jc w:val="center"/>
        <w:rPr>
          <w:noProof/>
          <w:lang w:val="es-PE" w:eastAsia="es-PE"/>
        </w:rPr>
      </w:pPr>
    </w:p>
    <w:p w:rsidR="007D6937" w:rsidRDefault="007D6937" w:rsidP="007D6937">
      <w:pPr>
        <w:jc w:val="center"/>
        <w:rPr>
          <w:rFonts w:ascii="Arial" w:hAnsi="Arial" w:cs="Arial"/>
          <w:sz w:val="22"/>
        </w:rPr>
      </w:pPr>
    </w:p>
    <w:p w:rsidR="007D6937" w:rsidRDefault="007D6937" w:rsidP="007D6937">
      <w:pPr>
        <w:pStyle w:val="Sangra2detindependiente"/>
        <w:spacing w:before="0"/>
        <w:ind w:left="0"/>
        <w:jc w:val="center"/>
        <w:rPr>
          <w:b/>
        </w:rPr>
      </w:pPr>
    </w:p>
    <w:p w:rsidR="007D6937" w:rsidRDefault="007D6937" w:rsidP="007D6937">
      <w:pPr>
        <w:pStyle w:val="Sangra2detindependiente"/>
        <w:spacing w:before="0"/>
        <w:ind w:left="0"/>
        <w:jc w:val="center"/>
        <w:rPr>
          <w:b/>
        </w:rPr>
      </w:pPr>
    </w:p>
    <w:p w:rsidR="007D6937" w:rsidRPr="00A75D20" w:rsidRDefault="007D6937" w:rsidP="007D6937">
      <w:pPr>
        <w:pStyle w:val="Sangra2detindependiente"/>
        <w:spacing w:before="0"/>
        <w:ind w:left="0"/>
        <w:jc w:val="center"/>
        <w:rPr>
          <w:b/>
        </w:rPr>
      </w:pPr>
      <w:r>
        <w:rPr>
          <w:b/>
        </w:rPr>
        <w:t>Roberto Pereda Gálvez</w:t>
      </w:r>
    </w:p>
    <w:p w:rsidR="0083660F" w:rsidRPr="00013B66" w:rsidRDefault="007D6937" w:rsidP="00013B66">
      <w:pPr>
        <w:pStyle w:val="Sangra2detindependiente"/>
        <w:spacing w:before="0"/>
        <w:ind w:left="0"/>
        <w:jc w:val="center"/>
        <w:rPr>
          <w:b/>
        </w:rPr>
      </w:pPr>
      <w:r>
        <w:rPr>
          <w:b/>
        </w:rPr>
        <w:t>Superintendente Adjunto</w:t>
      </w:r>
    </w:p>
    <w:sectPr w:rsidR="0083660F" w:rsidRPr="00013B66" w:rsidSect="008366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1701" w:bottom="1560" w:left="1701" w:header="459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49" w:rsidRDefault="00893D49">
      <w:r>
        <w:separator/>
      </w:r>
    </w:p>
  </w:endnote>
  <w:endnote w:type="continuationSeparator" w:id="0">
    <w:p w:rsidR="00893D49" w:rsidRDefault="008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63" w:rsidRDefault="00FF586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633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F5863" w:rsidRDefault="00FF58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58" w:type="dxa"/>
      <w:tblInd w:w="-792" w:type="dxa"/>
      <w:tblLook w:val="01E0" w:firstRow="1" w:lastRow="1" w:firstColumn="1" w:lastColumn="1" w:noHBand="0" w:noVBand="0"/>
    </w:tblPr>
    <w:tblGrid>
      <w:gridCol w:w="3598"/>
      <w:gridCol w:w="3598"/>
      <w:gridCol w:w="3962"/>
      <w:gridCol w:w="2700"/>
    </w:tblGrid>
    <w:tr w:rsidR="006F79D7" w:rsidRPr="00107FA5" w:rsidTr="00F752C6">
      <w:tc>
        <w:tcPr>
          <w:tcW w:w="3598" w:type="dxa"/>
          <w:vAlign w:val="center"/>
        </w:tcPr>
        <w:p w:rsidR="006F79D7" w:rsidRDefault="006F79D7" w:rsidP="006F79D7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</w:rPr>
          </w:pPr>
          <w:r>
            <w:rPr>
              <w:rFonts w:ascii="Calibri" w:hAnsi="Calibri" w:cs="Arial"/>
              <w:spacing w:val="20"/>
              <w:sz w:val="14"/>
              <w:szCs w:val="14"/>
            </w:rPr>
            <w:t>Av. Santa Cruz 315 Miraflores</w:t>
          </w:r>
        </w:p>
        <w:p w:rsidR="006F79D7" w:rsidRDefault="006F79D7" w:rsidP="006F79D7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</w:rPr>
          </w:pPr>
          <w:proofErr w:type="gramStart"/>
          <w:r>
            <w:rPr>
              <w:rFonts w:ascii="Calibri" w:hAnsi="Calibri" w:cs="Arial"/>
              <w:spacing w:val="20"/>
              <w:sz w:val="14"/>
              <w:szCs w:val="14"/>
            </w:rPr>
            <w:t>Central :</w:t>
          </w:r>
          <w:proofErr w:type="gramEnd"/>
          <w:r>
            <w:rPr>
              <w:rFonts w:ascii="Calibri" w:hAnsi="Calibri" w:cs="Arial"/>
              <w:spacing w:val="20"/>
              <w:sz w:val="14"/>
              <w:szCs w:val="14"/>
            </w:rPr>
            <w:t xml:space="preserve"> 610-6300 </w:t>
          </w:r>
        </w:p>
        <w:p w:rsidR="006F79D7" w:rsidRPr="00107FA5" w:rsidRDefault="006F79D7" w:rsidP="006F79D7">
          <w:pPr>
            <w:pStyle w:val="Puesto"/>
            <w:jc w:val="right"/>
            <w:rPr>
              <w:rFonts w:ascii="Calibri" w:hAnsi="Calibri"/>
              <w:b w:val="0"/>
              <w:sz w:val="14"/>
              <w:szCs w:val="14"/>
              <w:lang w:val="es-MX"/>
            </w:rPr>
          </w:pPr>
          <w:r w:rsidRPr="00107FA5">
            <w:rPr>
              <w:rFonts w:ascii="Calibri" w:hAnsi="Calibri"/>
              <w:b w:val="0"/>
              <w:sz w:val="14"/>
              <w:szCs w:val="14"/>
              <w:lang w:val="es-MX"/>
            </w:rPr>
            <w:t>www.</w:t>
          </w:r>
          <w:r>
            <w:rPr>
              <w:rFonts w:ascii="Calibri" w:hAnsi="Calibri"/>
              <w:b w:val="0"/>
              <w:sz w:val="14"/>
              <w:szCs w:val="14"/>
              <w:lang w:val="es-MX"/>
            </w:rPr>
            <w:t>sm</w:t>
          </w:r>
          <w:r w:rsidRPr="00107FA5">
            <w:rPr>
              <w:rFonts w:ascii="Calibri" w:hAnsi="Calibri"/>
              <w:b w:val="0"/>
              <w:sz w:val="14"/>
              <w:szCs w:val="14"/>
              <w:lang w:val="es-MX"/>
            </w:rPr>
            <w:t>v.gob.pe</w:t>
          </w:r>
        </w:p>
      </w:tc>
      <w:tc>
        <w:tcPr>
          <w:tcW w:w="3598" w:type="dxa"/>
          <w:vAlign w:val="center"/>
        </w:tcPr>
        <w:p w:rsidR="006F79D7" w:rsidRDefault="006F79D7" w:rsidP="006F79D7">
          <w:pPr>
            <w:pStyle w:val="Piedepgina"/>
            <w:jc w:val="center"/>
          </w:pPr>
        </w:p>
        <w:p w:rsidR="006F79D7" w:rsidRPr="00C24A55" w:rsidRDefault="006F79D7" w:rsidP="006F79D7">
          <w:pPr>
            <w:pStyle w:val="Piedepgina"/>
            <w:jc w:val="center"/>
            <w:rPr>
              <w:rFonts w:ascii="Arial" w:hAnsi="Arial" w:cs="Arial"/>
            </w:rPr>
          </w:pPr>
          <w:r w:rsidRPr="00C24A55">
            <w:rPr>
              <w:rFonts w:ascii="Arial" w:hAnsi="Arial" w:cs="Arial"/>
            </w:rPr>
            <w:fldChar w:fldCharType="begin"/>
          </w:r>
          <w:r w:rsidRPr="00C24A55">
            <w:rPr>
              <w:rFonts w:ascii="Arial" w:hAnsi="Arial" w:cs="Arial"/>
            </w:rPr>
            <w:instrText>PAGE   \* MERGEFORMAT</w:instrText>
          </w:r>
          <w:r w:rsidRPr="00C24A55">
            <w:rPr>
              <w:rFonts w:ascii="Arial" w:hAnsi="Arial" w:cs="Arial"/>
            </w:rPr>
            <w:fldChar w:fldCharType="separate"/>
          </w:r>
          <w:r w:rsidR="005A1D82">
            <w:rPr>
              <w:rFonts w:ascii="Arial" w:hAnsi="Arial" w:cs="Arial"/>
              <w:noProof/>
            </w:rPr>
            <w:t>6</w:t>
          </w:r>
          <w:r w:rsidRPr="00C24A55">
            <w:rPr>
              <w:rFonts w:ascii="Arial" w:hAnsi="Arial" w:cs="Arial"/>
            </w:rPr>
            <w:fldChar w:fldCharType="end"/>
          </w:r>
        </w:p>
        <w:p w:rsidR="006F79D7" w:rsidRPr="00107FA5" w:rsidRDefault="006F79D7" w:rsidP="006F79D7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62" w:type="dxa"/>
          <w:tcBorders>
            <w:right w:val="single" w:sz="4" w:space="0" w:color="auto"/>
          </w:tcBorders>
          <w:vAlign w:val="center"/>
        </w:tcPr>
        <w:p w:rsidR="006F79D7" w:rsidRPr="00107FA5" w:rsidRDefault="008A506C" w:rsidP="006F79D7">
          <w:pPr>
            <w:pStyle w:val="Piedepgina"/>
            <w:ind w:right="760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  <w:r w:rsidRPr="00A5462B">
            <w:rPr>
              <w:rFonts w:ascii="Arial" w:hAnsi="Arial" w:cs="Arial"/>
              <w:noProof/>
              <w:sz w:val="18"/>
              <w:szCs w:val="18"/>
              <w:lang w:val="es-PE" w:eastAsia="es-PE"/>
            </w:rPr>
            <w:drawing>
              <wp:inline distT="0" distB="0" distL="0" distR="0">
                <wp:extent cx="1628775" cy="561975"/>
                <wp:effectExtent l="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tcBorders>
            <w:left w:val="single" w:sz="4" w:space="0" w:color="auto"/>
          </w:tcBorders>
          <w:vAlign w:val="center"/>
        </w:tcPr>
        <w:p w:rsidR="006F79D7" w:rsidRDefault="006F79D7" w:rsidP="006F79D7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</w:rPr>
          </w:pPr>
          <w:r>
            <w:rPr>
              <w:rFonts w:ascii="Calibri" w:hAnsi="Calibri" w:cs="Arial"/>
              <w:spacing w:val="20"/>
              <w:sz w:val="14"/>
              <w:szCs w:val="14"/>
            </w:rPr>
            <w:t>Av. Santa Cruz 315 Miraflores</w:t>
          </w:r>
        </w:p>
        <w:p w:rsidR="006F79D7" w:rsidRDefault="006F79D7" w:rsidP="006F79D7">
          <w:pPr>
            <w:spacing w:before="40" w:after="40"/>
            <w:jc w:val="right"/>
            <w:rPr>
              <w:rFonts w:ascii="Calibri" w:hAnsi="Calibri" w:cs="Arial"/>
              <w:spacing w:val="20"/>
              <w:sz w:val="14"/>
              <w:szCs w:val="14"/>
            </w:rPr>
          </w:pPr>
          <w:proofErr w:type="gramStart"/>
          <w:r>
            <w:rPr>
              <w:rFonts w:ascii="Calibri" w:hAnsi="Calibri" w:cs="Arial"/>
              <w:spacing w:val="20"/>
              <w:sz w:val="14"/>
              <w:szCs w:val="14"/>
            </w:rPr>
            <w:t>Central :</w:t>
          </w:r>
          <w:proofErr w:type="gramEnd"/>
          <w:r>
            <w:rPr>
              <w:rFonts w:ascii="Calibri" w:hAnsi="Calibri" w:cs="Arial"/>
              <w:spacing w:val="20"/>
              <w:sz w:val="14"/>
              <w:szCs w:val="14"/>
            </w:rPr>
            <w:t xml:space="preserve"> 610-6300 </w:t>
          </w:r>
        </w:p>
        <w:p w:rsidR="006F79D7" w:rsidRPr="00107FA5" w:rsidRDefault="006F79D7" w:rsidP="006F79D7">
          <w:pPr>
            <w:pStyle w:val="Puesto"/>
            <w:jc w:val="right"/>
            <w:rPr>
              <w:rFonts w:ascii="Calibri" w:hAnsi="Calibri"/>
              <w:b w:val="0"/>
              <w:sz w:val="14"/>
              <w:szCs w:val="14"/>
              <w:lang w:val="es-MX"/>
            </w:rPr>
          </w:pPr>
          <w:r w:rsidRPr="00107FA5">
            <w:rPr>
              <w:rFonts w:ascii="Calibri" w:hAnsi="Calibri"/>
              <w:b w:val="0"/>
              <w:sz w:val="14"/>
              <w:szCs w:val="14"/>
              <w:lang w:val="es-MX"/>
            </w:rPr>
            <w:t>www.</w:t>
          </w:r>
          <w:r>
            <w:rPr>
              <w:rFonts w:ascii="Calibri" w:hAnsi="Calibri"/>
              <w:b w:val="0"/>
              <w:sz w:val="14"/>
              <w:szCs w:val="14"/>
              <w:lang w:val="es-MX"/>
            </w:rPr>
            <w:t>sm</w:t>
          </w:r>
          <w:r w:rsidRPr="00107FA5">
            <w:rPr>
              <w:rFonts w:ascii="Calibri" w:hAnsi="Calibri"/>
              <w:b w:val="0"/>
              <w:sz w:val="14"/>
              <w:szCs w:val="14"/>
              <w:lang w:val="es-MX"/>
            </w:rPr>
            <w:t>v.gob.pe</w:t>
          </w:r>
        </w:p>
      </w:tc>
    </w:tr>
  </w:tbl>
  <w:p w:rsidR="00FF5863" w:rsidRPr="00371FC5" w:rsidRDefault="00FF5863" w:rsidP="00371F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63" w:rsidRDefault="00FF58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49" w:rsidRDefault="00893D49">
      <w:r>
        <w:separator/>
      </w:r>
    </w:p>
  </w:footnote>
  <w:footnote w:type="continuationSeparator" w:id="0">
    <w:p w:rsidR="00893D49" w:rsidRDefault="00893D49">
      <w:r>
        <w:continuationSeparator/>
      </w:r>
    </w:p>
  </w:footnote>
  <w:footnote w:id="1">
    <w:p w:rsidR="000204CA" w:rsidRPr="0026496C" w:rsidRDefault="000204CA" w:rsidP="0026496C">
      <w:pPr>
        <w:pStyle w:val="Textonotapie"/>
        <w:tabs>
          <w:tab w:val="left" w:pos="284"/>
        </w:tabs>
        <w:rPr>
          <w:rFonts w:ascii="Arial" w:hAnsi="Arial" w:cs="Arial"/>
          <w:lang w:val="es-PE"/>
        </w:rPr>
      </w:pPr>
      <w:r w:rsidRPr="0026496C">
        <w:rPr>
          <w:rStyle w:val="Refdenotaalpie"/>
          <w:rFonts w:ascii="Arial" w:hAnsi="Arial" w:cs="Arial"/>
        </w:rPr>
        <w:footnoteRef/>
      </w:r>
      <w:r w:rsidRPr="0026496C">
        <w:rPr>
          <w:rFonts w:ascii="Arial" w:hAnsi="Arial" w:cs="Arial"/>
        </w:rPr>
        <w:t xml:space="preserve"> </w:t>
      </w:r>
      <w:r w:rsidR="0026496C">
        <w:rPr>
          <w:rFonts w:ascii="Arial" w:hAnsi="Arial" w:cs="Arial"/>
        </w:rPr>
        <w:tab/>
      </w:r>
      <w:r w:rsidRPr="0026496C">
        <w:rPr>
          <w:rFonts w:ascii="Arial" w:hAnsi="Arial" w:cs="Arial"/>
          <w:lang w:val="es-PE"/>
        </w:rPr>
        <w:t>Asimismo, se refiere a aspectos externos.</w:t>
      </w:r>
    </w:p>
  </w:footnote>
  <w:footnote w:id="2">
    <w:p w:rsidR="007D6937" w:rsidRPr="00CD6C80" w:rsidRDefault="007D6937" w:rsidP="007D6937">
      <w:pPr>
        <w:pStyle w:val="Textonotapie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18"/>
          <w:szCs w:val="18"/>
          <w:lang w:val="es-PE"/>
        </w:rPr>
      </w:pPr>
      <w:r w:rsidRPr="00CD6C80">
        <w:rPr>
          <w:rStyle w:val="Refdenotaalpie"/>
          <w:rFonts w:ascii="Arial" w:hAnsi="Arial" w:cs="Arial"/>
          <w:sz w:val="18"/>
          <w:szCs w:val="18"/>
        </w:rPr>
        <w:footnoteRef/>
      </w:r>
      <w:r w:rsidRPr="00CD6C80">
        <w:rPr>
          <w:rFonts w:ascii="Arial" w:hAnsi="Arial" w:cs="Arial"/>
          <w:sz w:val="18"/>
          <w:szCs w:val="18"/>
        </w:rPr>
        <w:t xml:space="preserve"> </w:t>
      </w:r>
      <w:r w:rsidRPr="00CD6C80">
        <w:rPr>
          <w:rFonts w:ascii="Arial" w:hAnsi="Arial" w:cs="Arial"/>
          <w:sz w:val="18"/>
          <w:szCs w:val="18"/>
        </w:rPr>
        <w:tab/>
      </w:r>
      <w:r w:rsidRPr="00CD6C80">
        <w:rPr>
          <w:rFonts w:ascii="Arial" w:hAnsi="Arial" w:cs="Arial"/>
          <w:sz w:val="18"/>
          <w:szCs w:val="18"/>
          <w:lang w:val="es-PE"/>
        </w:rPr>
        <w:t>Es necesario destacar que la SMV ha realizado actividades administrativas similares respecto al Reporte 2017.</w:t>
      </w:r>
    </w:p>
  </w:footnote>
  <w:footnote w:id="3">
    <w:p w:rsidR="007D6937" w:rsidRPr="00CD6C80" w:rsidRDefault="007D6937" w:rsidP="007D6937">
      <w:pPr>
        <w:pStyle w:val="Textonotapie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6C80">
        <w:rPr>
          <w:rStyle w:val="Refdenotaalpie"/>
          <w:rFonts w:ascii="Arial" w:hAnsi="Arial" w:cs="Arial"/>
          <w:sz w:val="18"/>
          <w:szCs w:val="18"/>
        </w:rPr>
        <w:footnoteRef/>
      </w:r>
      <w:r w:rsidRPr="00CD6C80">
        <w:rPr>
          <w:rFonts w:ascii="Arial" w:hAnsi="Arial" w:cs="Arial"/>
          <w:sz w:val="18"/>
          <w:szCs w:val="18"/>
        </w:rPr>
        <w:t xml:space="preserve"> </w:t>
      </w:r>
      <w:r w:rsidRPr="00CD6C80">
        <w:rPr>
          <w:rFonts w:ascii="Arial" w:hAnsi="Arial" w:cs="Arial"/>
          <w:sz w:val="18"/>
          <w:szCs w:val="18"/>
          <w:lang w:val="es-PE"/>
        </w:rPr>
        <w:tab/>
      </w:r>
      <w:r w:rsidRPr="00CD6C80">
        <w:rPr>
          <w:rFonts w:ascii="Arial" w:hAnsi="Arial" w:cs="Arial"/>
          <w:sz w:val="18"/>
          <w:szCs w:val="18"/>
        </w:rPr>
        <w:t>Pregunta IV.4.b.</w:t>
      </w:r>
    </w:p>
    <w:p w:rsidR="007D6937" w:rsidRPr="00CD6C80" w:rsidRDefault="007D6937" w:rsidP="007D6937">
      <w:pPr>
        <w:pStyle w:val="Textonotapie"/>
        <w:spacing w:after="120"/>
        <w:ind w:left="284"/>
        <w:jc w:val="both"/>
        <w:rPr>
          <w:rFonts w:ascii="Arial" w:hAnsi="Arial" w:cs="Arial"/>
          <w:sz w:val="18"/>
          <w:szCs w:val="18"/>
        </w:rPr>
      </w:pPr>
      <w:r w:rsidRPr="00CD6C80">
        <w:rPr>
          <w:rFonts w:ascii="Arial" w:hAnsi="Arial" w:cs="Arial"/>
          <w:sz w:val="18"/>
          <w:szCs w:val="18"/>
        </w:rPr>
        <w:t>¿Son funciones del auditor interno la evaluación permanente de que toda la información financiera generada o registrada por la sociedad sea válida y confiable, así como verificar la eficacia del cumplimiento normativo?</w:t>
      </w:r>
    </w:p>
  </w:footnote>
  <w:footnote w:id="4">
    <w:p w:rsidR="007D6937" w:rsidRPr="00CD6C80" w:rsidRDefault="007D6937" w:rsidP="007D6937">
      <w:pPr>
        <w:pStyle w:val="Textonotapie"/>
        <w:tabs>
          <w:tab w:val="left" w:pos="284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D6C80">
        <w:rPr>
          <w:rStyle w:val="Refdenotaalpie"/>
          <w:rFonts w:ascii="Arial" w:hAnsi="Arial" w:cs="Arial"/>
          <w:sz w:val="18"/>
          <w:szCs w:val="18"/>
        </w:rPr>
        <w:footnoteRef/>
      </w:r>
      <w:r w:rsidRPr="00CD6C80">
        <w:rPr>
          <w:rFonts w:ascii="Arial" w:hAnsi="Arial" w:cs="Arial"/>
          <w:sz w:val="18"/>
          <w:szCs w:val="18"/>
        </w:rPr>
        <w:t xml:space="preserve"> </w:t>
      </w:r>
      <w:r w:rsidRPr="00CD6C80">
        <w:rPr>
          <w:rFonts w:ascii="Arial" w:hAnsi="Arial" w:cs="Arial"/>
          <w:sz w:val="18"/>
          <w:szCs w:val="18"/>
        </w:rPr>
        <w:tab/>
      </w:r>
      <w:r w:rsidRPr="00CD6C80">
        <w:rPr>
          <w:rFonts w:ascii="Arial" w:hAnsi="Arial" w:cs="Arial"/>
          <w:i/>
          <w:sz w:val="18"/>
          <w:szCs w:val="18"/>
        </w:rPr>
        <w:t>“</w:t>
      </w:r>
      <w:r w:rsidRPr="00CD6C80">
        <w:rPr>
          <w:rFonts w:ascii="Arial" w:hAnsi="Arial" w:cs="Arial"/>
          <w:i/>
          <w:sz w:val="18"/>
          <w:szCs w:val="18"/>
          <w:u w:val="single"/>
        </w:rPr>
        <w:t>Principio 26</w:t>
      </w:r>
      <w:r w:rsidRPr="00CD6C80">
        <w:rPr>
          <w:rFonts w:ascii="Arial" w:hAnsi="Arial" w:cs="Arial"/>
          <w:i/>
          <w:sz w:val="18"/>
          <w:szCs w:val="18"/>
        </w:rPr>
        <w:t>: Auditoría Interna</w:t>
      </w:r>
    </w:p>
    <w:p w:rsidR="007D6937" w:rsidRPr="00CD6C80" w:rsidRDefault="007D6937" w:rsidP="007D6937">
      <w:pPr>
        <w:pStyle w:val="Textonotapie"/>
        <w:spacing w:after="12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CD6C80">
        <w:rPr>
          <w:rFonts w:ascii="Arial" w:hAnsi="Arial" w:cs="Arial"/>
          <w:i/>
          <w:sz w:val="18"/>
          <w:szCs w:val="18"/>
        </w:rPr>
        <w:t>El auditor interno realiza labores de auditoría en forma exclusiva, cuenta con autonomía, experiencia y especialización en los temas bajo su evaluación, e independencia para el seguimiento y la evaluación de la eficacia del sistema de gestión de riesgos, debiendo observar los principios de diligencia, lealtad y reserva que se exigen al Directorio y la Alta Gerencia.</w:t>
      </w:r>
    </w:p>
    <w:p w:rsidR="007D6937" w:rsidRPr="0080684F" w:rsidRDefault="007D6937" w:rsidP="007D6937">
      <w:pPr>
        <w:pStyle w:val="Textonotapie"/>
        <w:spacing w:after="12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80684F">
        <w:rPr>
          <w:rFonts w:ascii="Arial" w:hAnsi="Arial" w:cs="Arial"/>
          <w:i/>
          <w:sz w:val="18"/>
          <w:szCs w:val="18"/>
        </w:rPr>
        <w:t>Sus funciones incluyen la evaluación permanente de que toda la información financiera generada o registrada por la sociedad sea válida y confiable, así como la verificación que la función de cumplimiento normativo sea ejercida eficazmente.</w:t>
      </w:r>
    </w:p>
    <w:p w:rsidR="007D6937" w:rsidRPr="0080684F" w:rsidRDefault="007D6937" w:rsidP="007D6937">
      <w:pPr>
        <w:pStyle w:val="Textonotapie"/>
        <w:spacing w:after="120"/>
        <w:ind w:left="284"/>
        <w:jc w:val="both"/>
        <w:rPr>
          <w:rFonts w:ascii="Arial" w:hAnsi="Arial" w:cs="Arial"/>
          <w:sz w:val="18"/>
          <w:szCs w:val="18"/>
        </w:rPr>
      </w:pPr>
      <w:r w:rsidRPr="0080684F">
        <w:rPr>
          <w:rFonts w:ascii="Arial" w:hAnsi="Arial" w:cs="Arial"/>
          <w:i/>
          <w:sz w:val="18"/>
          <w:szCs w:val="18"/>
        </w:rPr>
        <w:t>El auditor interno reporta directamente al Comité de Auditoría sobre sus planes, presupuesto, actividades, avances, resultados obtenidos y acciones tomadas. El auditor interno depende organizativamente del Directorio, por lo que su nombramiento y cese corresponde al Directorio a propuesta del Comité de Auditoría.”</w:t>
      </w:r>
    </w:p>
  </w:footnote>
  <w:footnote w:id="5">
    <w:p w:rsidR="007D6937" w:rsidRPr="000F24C2" w:rsidRDefault="007D6937" w:rsidP="007D6937">
      <w:pPr>
        <w:pStyle w:val="Textonotapie"/>
        <w:spacing w:after="40"/>
        <w:ind w:left="284" w:hanging="284"/>
        <w:jc w:val="both"/>
        <w:rPr>
          <w:rFonts w:ascii="Arial" w:hAnsi="Arial" w:cs="Arial"/>
          <w:sz w:val="18"/>
          <w:szCs w:val="18"/>
          <w:lang w:val="es-PE"/>
        </w:rPr>
      </w:pPr>
      <w:r w:rsidRPr="000F24C2">
        <w:rPr>
          <w:rStyle w:val="Refdenotaalpie"/>
          <w:rFonts w:ascii="Arial" w:hAnsi="Arial" w:cs="Arial"/>
          <w:sz w:val="18"/>
          <w:szCs w:val="18"/>
        </w:rPr>
        <w:footnoteRef/>
      </w:r>
      <w:r w:rsidRPr="000F24C2">
        <w:rPr>
          <w:rFonts w:ascii="Arial" w:hAnsi="Arial" w:cs="Arial"/>
          <w:sz w:val="18"/>
          <w:szCs w:val="18"/>
        </w:rPr>
        <w:t xml:space="preserve"> </w:t>
      </w:r>
      <w:r w:rsidRPr="000F24C2">
        <w:rPr>
          <w:rFonts w:ascii="Arial" w:hAnsi="Arial" w:cs="Arial"/>
          <w:sz w:val="18"/>
          <w:szCs w:val="18"/>
        </w:rPr>
        <w:tab/>
        <w:t>La presente Circular y su anexo (Formulario) se encuentran disponibles en formato Microsoft Word en el Portal del Mercado de Valores de la SMV, sección Orientación y Educación – Información de Empresas – Circulares IGSC (</w:t>
      </w:r>
      <w:hyperlink r:id="rId1" w:history="1">
        <w:r w:rsidRPr="000F24C2">
          <w:rPr>
            <w:rStyle w:val="Hipervnculo"/>
            <w:rFonts w:ascii="Arial" w:hAnsi="Arial" w:cs="Arial"/>
            <w:sz w:val="18"/>
            <w:szCs w:val="18"/>
          </w:rPr>
          <w:t>www.smv.gob.pe</w:t>
        </w:r>
      </w:hyperlink>
      <w:r w:rsidRPr="000F24C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63" w:rsidRDefault="00FF58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83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"/>
      <w:gridCol w:w="933"/>
      <w:gridCol w:w="2798"/>
      <w:gridCol w:w="2798"/>
      <w:gridCol w:w="2799"/>
    </w:tblGrid>
    <w:tr w:rsidR="00FF5863" w:rsidTr="009F2A41">
      <w:trPr>
        <w:cantSplit/>
      </w:trPr>
      <w:tc>
        <w:tcPr>
          <w:tcW w:w="932" w:type="dxa"/>
        </w:tcPr>
        <w:p w:rsidR="00FF5863" w:rsidRDefault="008A506C" w:rsidP="009F2A4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A5462B">
            <w:rPr>
              <w:noProof/>
              <w:lang w:val="es-PE" w:eastAsia="es-PE"/>
            </w:rPr>
            <w:drawing>
              <wp:inline distT="0" distB="0" distL="0" distR="0">
                <wp:extent cx="466725" cy="5619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" w:type="dxa"/>
          <w:shd w:val="clear" w:color="auto" w:fill="FF0000"/>
        </w:tcPr>
        <w:p w:rsidR="00FF5863" w:rsidRPr="006E5801" w:rsidRDefault="00FF5863" w:rsidP="009F2A41">
          <w:pPr>
            <w:pStyle w:val="Ttulo3"/>
            <w:jc w:val="left"/>
            <w:rPr>
              <w:rFonts w:ascii="Calibri" w:hAnsi="Calibri" w:cs="Arial"/>
              <w:b w:val="0"/>
              <w:bCs w:val="0"/>
              <w:color w:val="FFFFFF"/>
              <w:szCs w:val="22"/>
            </w:rPr>
          </w:pPr>
        </w:p>
        <w:p w:rsidR="00FF5863" w:rsidRPr="006E5801" w:rsidRDefault="00FF5863" w:rsidP="009F2A41">
          <w:pPr>
            <w:pStyle w:val="Ttulo3"/>
            <w:rPr>
              <w:rFonts w:ascii="Calibri" w:hAnsi="Calibri" w:cs="Arial"/>
              <w:b w:val="0"/>
              <w:bCs w:val="0"/>
              <w:color w:val="FFFFFF"/>
              <w:sz w:val="28"/>
              <w:szCs w:val="22"/>
            </w:rPr>
          </w:pPr>
          <w:r w:rsidRPr="006E5801">
            <w:rPr>
              <w:rFonts w:ascii="Calibri" w:hAnsi="Calibri" w:cs="Arial"/>
              <w:b w:val="0"/>
              <w:bCs w:val="0"/>
              <w:color w:val="FFFFFF"/>
              <w:sz w:val="28"/>
              <w:szCs w:val="22"/>
            </w:rPr>
            <w:t>PERÚ</w:t>
          </w:r>
        </w:p>
      </w:tc>
      <w:tc>
        <w:tcPr>
          <w:tcW w:w="2798" w:type="dxa"/>
          <w:shd w:val="pct80" w:color="auto" w:fill="auto"/>
        </w:tcPr>
        <w:p w:rsidR="00FF5863" w:rsidRDefault="00FF5863" w:rsidP="009F2A41">
          <w:pPr>
            <w:rPr>
              <w:rFonts w:ascii="Calibri" w:hAnsi="Calibri" w:cs="Arial"/>
              <w:color w:val="FFFFFF"/>
              <w:sz w:val="28"/>
              <w:szCs w:val="22"/>
            </w:rPr>
          </w:pPr>
        </w:p>
        <w:p w:rsidR="00FF5863" w:rsidRDefault="00FF5863" w:rsidP="009F2A41">
          <w:pPr>
            <w:spacing w:line="168" w:lineRule="auto"/>
            <w:rPr>
              <w:rFonts w:ascii="Calibri" w:hAnsi="Calibri" w:cs="Arial"/>
              <w:color w:val="FFFFFF"/>
              <w:sz w:val="22"/>
              <w:szCs w:val="22"/>
            </w:rPr>
          </w:pPr>
          <w:r>
            <w:rPr>
              <w:rFonts w:ascii="Calibri" w:hAnsi="Calibri" w:cs="Arial"/>
              <w:color w:val="FFFFFF"/>
              <w:sz w:val="26"/>
              <w:szCs w:val="22"/>
            </w:rPr>
            <w:t xml:space="preserve">Ministerio </w:t>
          </w:r>
          <w:r>
            <w:rPr>
              <w:rFonts w:ascii="Calibri" w:hAnsi="Calibri" w:cs="Arial"/>
              <w:color w:val="FFFFFF"/>
              <w:sz w:val="26"/>
              <w:szCs w:val="22"/>
            </w:rPr>
            <w:br/>
            <w:t>de Economía y Finanzas</w:t>
          </w:r>
        </w:p>
      </w:tc>
      <w:tc>
        <w:tcPr>
          <w:tcW w:w="2798" w:type="dxa"/>
          <w:shd w:val="pct50" w:color="auto" w:fill="auto"/>
          <w:vAlign w:val="center"/>
        </w:tcPr>
        <w:p w:rsidR="00FF5863" w:rsidRDefault="00FF5863" w:rsidP="009F2A41">
          <w:pPr>
            <w:ind w:left="127"/>
            <w:rPr>
              <w:rFonts w:ascii="Calibri" w:hAnsi="Calibri" w:cs="Arial"/>
              <w:color w:val="FFFFFF"/>
              <w:sz w:val="12"/>
              <w:szCs w:val="22"/>
            </w:rPr>
          </w:pPr>
          <w:r>
            <w:rPr>
              <w:rFonts w:ascii="Calibri" w:hAnsi="Calibri" w:cs="Arial"/>
              <w:color w:val="FFFFFF"/>
              <w:sz w:val="12"/>
              <w:szCs w:val="22"/>
            </w:rPr>
            <w:t xml:space="preserve">      </w:t>
          </w:r>
        </w:p>
        <w:p w:rsidR="00FF5863" w:rsidRDefault="00FF5863" w:rsidP="009F2A41">
          <w:pPr>
            <w:spacing w:line="168" w:lineRule="auto"/>
            <w:rPr>
              <w:rFonts w:ascii="Calibri" w:hAnsi="Calibri" w:cs="Arial"/>
              <w:color w:val="FFFFFF"/>
              <w:sz w:val="28"/>
              <w:szCs w:val="22"/>
            </w:rPr>
          </w:pPr>
          <w:r>
            <w:rPr>
              <w:rFonts w:ascii="Calibri" w:hAnsi="Calibri" w:cs="Arial"/>
              <w:color w:val="FFFFFF"/>
              <w:sz w:val="28"/>
              <w:szCs w:val="22"/>
            </w:rPr>
            <w:t>SMV</w:t>
          </w:r>
        </w:p>
        <w:p w:rsidR="00FF5863" w:rsidRDefault="00FF5863" w:rsidP="009F2A41">
          <w:pPr>
            <w:spacing w:line="168" w:lineRule="auto"/>
            <w:rPr>
              <w:rFonts w:ascii="Calibri" w:hAnsi="Calibri" w:cs="Arial"/>
              <w:color w:val="FFFFFF"/>
              <w:sz w:val="16"/>
              <w:szCs w:val="22"/>
            </w:rPr>
          </w:pPr>
          <w:r>
            <w:rPr>
              <w:rFonts w:ascii="Calibri" w:hAnsi="Calibri" w:cs="Arial"/>
              <w:color w:val="FFFFFF"/>
              <w:sz w:val="16"/>
              <w:szCs w:val="22"/>
            </w:rPr>
            <w:t>Superintendencia del Mercado</w:t>
          </w:r>
        </w:p>
        <w:p w:rsidR="00FF5863" w:rsidRDefault="00FF5863" w:rsidP="009F2A41">
          <w:pPr>
            <w:spacing w:line="168" w:lineRule="auto"/>
            <w:rPr>
              <w:rFonts w:ascii="Calibri" w:hAnsi="Calibri" w:cs="Arial"/>
              <w:color w:val="FFFFFF"/>
              <w:sz w:val="14"/>
              <w:szCs w:val="22"/>
            </w:rPr>
          </w:pPr>
          <w:r>
            <w:rPr>
              <w:rFonts w:ascii="Calibri" w:hAnsi="Calibri" w:cs="Arial"/>
              <w:color w:val="FFFFFF"/>
              <w:sz w:val="16"/>
              <w:szCs w:val="22"/>
            </w:rPr>
            <w:t>de Valores</w:t>
          </w:r>
        </w:p>
        <w:p w:rsidR="00FF5863" w:rsidRDefault="00FF5863" w:rsidP="009F2A41">
          <w:pPr>
            <w:ind w:left="307" w:hanging="180"/>
            <w:rPr>
              <w:rFonts w:ascii="Calibri" w:hAnsi="Calibri" w:cs="Arial"/>
              <w:color w:val="FFFFFF"/>
              <w:sz w:val="6"/>
              <w:szCs w:val="22"/>
            </w:rPr>
          </w:pPr>
          <w:r>
            <w:rPr>
              <w:rFonts w:ascii="Calibri" w:hAnsi="Calibri" w:cs="Arial"/>
              <w:sz w:val="12"/>
              <w:szCs w:val="22"/>
            </w:rPr>
            <w:t xml:space="preserve"> </w:t>
          </w:r>
        </w:p>
      </w:tc>
      <w:tc>
        <w:tcPr>
          <w:tcW w:w="2799" w:type="dxa"/>
          <w:shd w:val="clear" w:color="auto" w:fill="FFFFFF"/>
        </w:tcPr>
        <w:p w:rsidR="00FF5863" w:rsidRDefault="00FF5863" w:rsidP="009F2A41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FF5863" w:rsidRPr="00EF49F7" w:rsidRDefault="00FF5863" w:rsidP="00CE0A44">
    <w:pPr>
      <w:pStyle w:val="Encabezado"/>
      <w:ind w:left="-567"/>
      <w:jc w:val="both"/>
      <w:rPr>
        <w:rFonts w:ascii="Calibri" w:hAnsi="Calibri"/>
        <w:spacing w:val="-7"/>
        <w:w w:val="98"/>
        <w:sz w:val="16"/>
      </w:rPr>
    </w:pPr>
    <w:r>
      <w:rPr>
        <w:rFonts w:ascii="Calibri" w:hAnsi="Calibri"/>
        <w:spacing w:val="-7"/>
        <w:w w:val="98"/>
        <w:sz w:val="16"/>
      </w:rPr>
      <w:t>DECENIO DE LA IGUALDAD DE OPORTUNIDADES PARA MUJERES Y HOMBRES – AÑO DE LA LUCHA CONTRA LA CORRUPCIÓN Y LA IMPUNIDAD</w:t>
    </w:r>
  </w:p>
  <w:p w:rsidR="00FF5863" w:rsidRPr="00F537D2" w:rsidRDefault="00FF5863" w:rsidP="00432AE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63" w:rsidRDefault="00FF58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6BC"/>
    <w:multiLevelType w:val="hybridMultilevel"/>
    <w:tmpl w:val="9D148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41872"/>
    <w:multiLevelType w:val="multilevel"/>
    <w:tmpl w:val="A5A2E1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E86FBD"/>
    <w:multiLevelType w:val="hybridMultilevel"/>
    <w:tmpl w:val="0B10C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5C6A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8A3EDB"/>
    <w:multiLevelType w:val="hybridMultilevel"/>
    <w:tmpl w:val="182A6A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32531"/>
    <w:multiLevelType w:val="hybridMultilevel"/>
    <w:tmpl w:val="9EFCC08E"/>
    <w:lvl w:ilvl="0" w:tplc="32F43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75305"/>
    <w:multiLevelType w:val="hybridMultilevel"/>
    <w:tmpl w:val="6706D7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1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8D0F5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C3562"/>
    <w:multiLevelType w:val="hybridMultilevel"/>
    <w:tmpl w:val="92D203C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16CD4"/>
    <w:multiLevelType w:val="hybridMultilevel"/>
    <w:tmpl w:val="0FAC8A22"/>
    <w:lvl w:ilvl="0" w:tplc="AF62A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D01F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7"/>
    <w:rsid w:val="00001C93"/>
    <w:rsid w:val="00002E70"/>
    <w:rsid w:val="0000539D"/>
    <w:rsid w:val="00006B80"/>
    <w:rsid w:val="00007E51"/>
    <w:rsid w:val="000111A7"/>
    <w:rsid w:val="000133A3"/>
    <w:rsid w:val="00013A61"/>
    <w:rsid w:val="00013B66"/>
    <w:rsid w:val="000145BE"/>
    <w:rsid w:val="000155FB"/>
    <w:rsid w:val="000159F5"/>
    <w:rsid w:val="000161AE"/>
    <w:rsid w:val="000172AA"/>
    <w:rsid w:val="00017E69"/>
    <w:rsid w:val="000204CA"/>
    <w:rsid w:val="00021571"/>
    <w:rsid w:val="000215E6"/>
    <w:rsid w:val="00021AD5"/>
    <w:rsid w:val="000230B7"/>
    <w:rsid w:val="00024F10"/>
    <w:rsid w:val="00024F5B"/>
    <w:rsid w:val="00026898"/>
    <w:rsid w:val="00026899"/>
    <w:rsid w:val="00026A14"/>
    <w:rsid w:val="000300CE"/>
    <w:rsid w:val="00030F38"/>
    <w:rsid w:val="00031080"/>
    <w:rsid w:val="0003242D"/>
    <w:rsid w:val="00032705"/>
    <w:rsid w:val="00033012"/>
    <w:rsid w:val="00033B25"/>
    <w:rsid w:val="00033E28"/>
    <w:rsid w:val="000346B0"/>
    <w:rsid w:val="000351B7"/>
    <w:rsid w:val="00036AD5"/>
    <w:rsid w:val="0003743D"/>
    <w:rsid w:val="00037BF6"/>
    <w:rsid w:val="0004208B"/>
    <w:rsid w:val="00042E80"/>
    <w:rsid w:val="0004412E"/>
    <w:rsid w:val="00044E9E"/>
    <w:rsid w:val="000450B4"/>
    <w:rsid w:val="000469C2"/>
    <w:rsid w:val="00047209"/>
    <w:rsid w:val="000478CF"/>
    <w:rsid w:val="00047F56"/>
    <w:rsid w:val="00047FD8"/>
    <w:rsid w:val="00051445"/>
    <w:rsid w:val="000516EA"/>
    <w:rsid w:val="00051D53"/>
    <w:rsid w:val="0005610D"/>
    <w:rsid w:val="00056E54"/>
    <w:rsid w:val="000571EB"/>
    <w:rsid w:val="00061EE8"/>
    <w:rsid w:val="00062287"/>
    <w:rsid w:val="00064690"/>
    <w:rsid w:val="00064D7D"/>
    <w:rsid w:val="0006531C"/>
    <w:rsid w:val="000703FC"/>
    <w:rsid w:val="0007138B"/>
    <w:rsid w:val="00072042"/>
    <w:rsid w:val="00073422"/>
    <w:rsid w:val="0007462A"/>
    <w:rsid w:val="000761B3"/>
    <w:rsid w:val="00076BC7"/>
    <w:rsid w:val="00076E10"/>
    <w:rsid w:val="00077E30"/>
    <w:rsid w:val="000802CE"/>
    <w:rsid w:val="0008087A"/>
    <w:rsid w:val="000818A9"/>
    <w:rsid w:val="00081B02"/>
    <w:rsid w:val="000826A8"/>
    <w:rsid w:val="00082E80"/>
    <w:rsid w:val="00084B4C"/>
    <w:rsid w:val="00084D98"/>
    <w:rsid w:val="00085232"/>
    <w:rsid w:val="00085616"/>
    <w:rsid w:val="000907DD"/>
    <w:rsid w:val="00090840"/>
    <w:rsid w:val="00091A80"/>
    <w:rsid w:val="00092172"/>
    <w:rsid w:val="00093CBA"/>
    <w:rsid w:val="00094C19"/>
    <w:rsid w:val="000952F5"/>
    <w:rsid w:val="00095D53"/>
    <w:rsid w:val="000968E0"/>
    <w:rsid w:val="00097247"/>
    <w:rsid w:val="00097573"/>
    <w:rsid w:val="000A04B4"/>
    <w:rsid w:val="000A1B41"/>
    <w:rsid w:val="000A249E"/>
    <w:rsid w:val="000A24CE"/>
    <w:rsid w:val="000A2B6B"/>
    <w:rsid w:val="000A4197"/>
    <w:rsid w:val="000A6D75"/>
    <w:rsid w:val="000B09D5"/>
    <w:rsid w:val="000B219B"/>
    <w:rsid w:val="000B2D1D"/>
    <w:rsid w:val="000B3D55"/>
    <w:rsid w:val="000B3DAE"/>
    <w:rsid w:val="000B51D9"/>
    <w:rsid w:val="000B65CC"/>
    <w:rsid w:val="000B66D7"/>
    <w:rsid w:val="000B7393"/>
    <w:rsid w:val="000B7408"/>
    <w:rsid w:val="000B7BB4"/>
    <w:rsid w:val="000C17FA"/>
    <w:rsid w:val="000C199C"/>
    <w:rsid w:val="000C3E20"/>
    <w:rsid w:val="000C4826"/>
    <w:rsid w:val="000C60FE"/>
    <w:rsid w:val="000C63B4"/>
    <w:rsid w:val="000C72B5"/>
    <w:rsid w:val="000C7CE2"/>
    <w:rsid w:val="000C7F46"/>
    <w:rsid w:val="000C7F5E"/>
    <w:rsid w:val="000D06B0"/>
    <w:rsid w:val="000D0BED"/>
    <w:rsid w:val="000D1A83"/>
    <w:rsid w:val="000D3353"/>
    <w:rsid w:val="000D3908"/>
    <w:rsid w:val="000D5744"/>
    <w:rsid w:val="000D5B43"/>
    <w:rsid w:val="000D5B65"/>
    <w:rsid w:val="000D5C13"/>
    <w:rsid w:val="000D7875"/>
    <w:rsid w:val="000D79D1"/>
    <w:rsid w:val="000D7A96"/>
    <w:rsid w:val="000E1221"/>
    <w:rsid w:val="000E28AD"/>
    <w:rsid w:val="000E315E"/>
    <w:rsid w:val="000E33AE"/>
    <w:rsid w:val="000E47C4"/>
    <w:rsid w:val="000E5771"/>
    <w:rsid w:val="000E6F2D"/>
    <w:rsid w:val="000F0263"/>
    <w:rsid w:val="000F4341"/>
    <w:rsid w:val="000F4466"/>
    <w:rsid w:val="000F57C9"/>
    <w:rsid w:val="000F5AC9"/>
    <w:rsid w:val="000F633B"/>
    <w:rsid w:val="000F63F5"/>
    <w:rsid w:val="000F7D81"/>
    <w:rsid w:val="00102D1F"/>
    <w:rsid w:val="001030CA"/>
    <w:rsid w:val="00103281"/>
    <w:rsid w:val="00103430"/>
    <w:rsid w:val="00103C35"/>
    <w:rsid w:val="0010451C"/>
    <w:rsid w:val="001068F6"/>
    <w:rsid w:val="0010737F"/>
    <w:rsid w:val="00110107"/>
    <w:rsid w:val="00110342"/>
    <w:rsid w:val="00110769"/>
    <w:rsid w:val="00111AF4"/>
    <w:rsid w:val="00111B21"/>
    <w:rsid w:val="00112377"/>
    <w:rsid w:val="00112E86"/>
    <w:rsid w:val="00113354"/>
    <w:rsid w:val="001137CB"/>
    <w:rsid w:val="0011542C"/>
    <w:rsid w:val="0011557E"/>
    <w:rsid w:val="00115651"/>
    <w:rsid w:val="00115AC1"/>
    <w:rsid w:val="0011743C"/>
    <w:rsid w:val="0011767B"/>
    <w:rsid w:val="00120A06"/>
    <w:rsid w:val="001222AF"/>
    <w:rsid w:val="00122870"/>
    <w:rsid w:val="00124143"/>
    <w:rsid w:val="00124BCB"/>
    <w:rsid w:val="0012678C"/>
    <w:rsid w:val="001271C5"/>
    <w:rsid w:val="001271D9"/>
    <w:rsid w:val="001306FF"/>
    <w:rsid w:val="00131CD7"/>
    <w:rsid w:val="00131FDB"/>
    <w:rsid w:val="0013336E"/>
    <w:rsid w:val="00133F69"/>
    <w:rsid w:val="00134494"/>
    <w:rsid w:val="00135B85"/>
    <w:rsid w:val="001363A9"/>
    <w:rsid w:val="00137F4D"/>
    <w:rsid w:val="00140A8B"/>
    <w:rsid w:val="00141B8D"/>
    <w:rsid w:val="00142420"/>
    <w:rsid w:val="00146206"/>
    <w:rsid w:val="0014759F"/>
    <w:rsid w:val="001500F9"/>
    <w:rsid w:val="00150AC4"/>
    <w:rsid w:val="00151745"/>
    <w:rsid w:val="00151CBE"/>
    <w:rsid w:val="00151D33"/>
    <w:rsid w:val="00153223"/>
    <w:rsid w:val="0015368E"/>
    <w:rsid w:val="00161BE3"/>
    <w:rsid w:val="00161F02"/>
    <w:rsid w:val="00162834"/>
    <w:rsid w:val="00164588"/>
    <w:rsid w:val="00165AB7"/>
    <w:rsid w:val="00165D6F"/>
    <w:rsid w:val="00167420"/>
    <w:rsid w:val="00170755"/>
    <w:rsid w:val="00171D81"/>
    <w:rsid w:val="0017224D"/>
    <w:rsid w:val="001722A5"/>
    <w:rsid w:val="00173CF3"/>
    <w:rsid w:val="00173F99"/>
    <w:rsid w:val="00174373"/>
    <w:rsid w:val="00176054"/>
    <w:rsid w:val="00177795"/>
    <w:rsid w:val="00180C01"/>
    <w:rsid w:val="0018116D"/>
    <w:rsid w:val="0018116E"/>
    <w:rsid w:val="00181621"/>
    <w:rsid w:val="001819B1"/>
    <w:rsid w:val="0018347D"/>
    <w:rsid w:val="00183E85"/>
    <w:rsid w:val="001843E7"/>
    <w:rsid w:val="0018675C"/>
    <w:rsid w:val="00186E58"/>
    <w:rsid w:val="00187ED2"/>
    <w:rsid w:val="001924E3"/>
    <w:rsid w:val="001925FA"/>
    <w:rsid w:val="00192F1C"/>
    <w:rsid w:val="001932E4"/>
    <w:rsid w:val="00193E1C"/>
    <w:rsid w:val="0019762C"/>
    <w:rsid w:val="0019771C"/>
    <w:rsid w:val="001A1DB5"/>
    <w:rsid w:val="001A333F"/>
    <w:rsid w:val="001A34A9"/>
    <w:rsid w:val="001A3FFB"/>
    <w:rsid w:val="001A6C28"/>
    <w:rsid w:val="001A702D"/>
    <w:rsid w:val="001A7229"/>
    <w:rsid w:val="001A7EFA"/>
    <w:rsid w:val="001B0677"/>
    <w:rsid w:val="001B1032"/>
    <w:rsid w:val="001B2DF6"/>
    <w:rsid w:val="001B45E1"/>
    <w:rsid w:val="001B48A8"/>
    <w:rsid w:val="001B54D6"/>
    <w:rsid w:val="001B63CF"/>
    <w:rsid w:val="001B649A"/>
    <w:rsid w:val="001B68D5"/>
    <w:rsid w:val="001B7B1F"/>
    <w:rsid w:val="001C1A37"/>
    <w:rsid w:val="001C2D24"/>
    <w:rsid w:val="001C2E42"/>
    <w:rsid w:val="001C2F89"/>
    <w:rsid w:val="001C410D"/>
    <w:rsid w:val="001C42FE"/>
    <w:rsid w:val="001C4C1B"/>
    <w:rsid w:val="001C550F"/>
    <w:rsid w:val="001C5D65"/>
    <w:rsid w:val="001C5DAD"/>
    <w:rsid w:val="001C6391"/>
    <w:rsid w:val="001D0126"/>
    <w:rsid w:val="001D0134"/>
    <w:rsid w:val="001D0273"/>
    <w:rsid w:val="001D16C0"/>
    <w:rsid w:val="001D17B9"/>
    <w:rsid w:val="001D2221"/>
    <w:rsid w:val="001D266C"/>
    <w:rsid w:val="001D2E68"/>
    <w:rsid w:val="001D37E7"/>
    <w:rsid w:val="001D3FC4"/>
    <w:rsid w:val="001D435C"/>
    <w:rsid w:val="001D4469"/>
    <w:rsid w:val="001D4F08"/>
    <w:rsid w:val="001D51D1"/>
    <w:rsid w:val="001D5779"/>
    <w:rsid w:val="001E0652"/>
    <w:rsid w:val="001E25F1"/>
    <w:rsid w:val="001E28A7"/>
    <w:rsid w:val="001E2C4F"/>
    <w:rsid w:val="001E2DC4"/>
    <w:rsid w:val="001E3B20"/>
    <w:rsid w:val="001E3F22"/>
    <w:rsid w:val="001E4279"/>
    <w:rsid w:val="001E5981"/>
    <w:rsid w:val="001E5FF9"/>
    <w:rsid w:val="001E731C"/>
    <w:rsid w:val="001E7454"/>
    <w:rsid w:val="001E7EB7"/>
    <w:rsid w:val="001E7FE8"/>
    <w:rsid w:val="001F1FB6"/>
    <w:rsid w:val="001F27B3"/>
    <w:rsid w:val="001F2FEA"/>
    <w:rsid w:val="001F3350"/>
    <w:rsid w:val="001F3ACB"/>
    <w:rsid w:val="001F3C7C"/>
    <w:rsid w:val="001F4F08"/>
    <w:rsid w:val="001F6D0E"/>
    <w:rsid w:val="001F735C"/>
    <w:rsid w:val="001F7820"/>
    <w:rsid w:val="001F7923"/>
    <w:rsid w:val="001F7CAC"/>
    <w:rsid w:val="00201E29"/>
    <w:rsid w:val="00202399"/>
    <w:rsid w:val="002033BF"/>
    <w:rsid w:val="00203C8C"/>
    <w:rsid w:val="00204A7F"/>
    <w:rsid w:val="00205357"/>
    <w:rsid w:val="00205E97"/>
    <w:rsid w:val="002060CA"/>
    <w:rsid w:val="00207149"/>
    <w:rsid w:val="00207ACF"/>
    <w:rsid w:val="00207D47"/>
    <w:rsid w:val="00211B32"/>
    <w:rsid w:val="00211BA1"/>
    <w:rsid w:val="002131DA"/>
    <w:rsid w:val="00213E13"/>
    <w:rsid w:val="00214ADA"/>
    <w:rsid w:val="00216AB1"/>
    <w:rsid w:val="00216B3E"/>
    <w:rsid w:val="00217AAF"/>
    <w:rsid w:val="002217D1"/>
    <w:rsid w:val="002228D5"/>
    <w:rsid w:val="00222F01"/>
    <w:rsid w:val="00223A7A"/>
    <w:rsid w:val="00223F16"/>
    <w:rsid w:val="00224D67"/>
    <w:rsid w:val="00224F41"/>
    <w:rsid w:val="00225378"/>
    <w:rsid w:val="0022665F"/>
    <w:rsid w:val="0023021E"/>
    <w:rsid w:val="0023082B"/>
    <w:rsid w:val="00230E57"/>
    <w:rsid w:val="00232AD6"/>
    <w:rsid w:val="00233657"/>
    <w:rsid w:val="0023368E"/>
    <w:rsid w:val="002350EA"/>
    <w:rsid w:val="00235D9D"/>
    <w:rsid w:val="00236CA4"/>
    <w:rsid w:val="00240247"/>
    <w:rsid w:val="00240344"/>
    <w:rsid w:val="00240A95"/>
    <w:rsid w:val="002432D6"/>
    <w:rsid w:val="00245DCF"/>
    <w:rsid w:val="00247B1D"/>
    <w:rsid w:val="00247EA1"/>
    <w:rsid w:val="0025091C"/>
    <w:rsid w:val="002509D5"/>
    <w:rsid w:val="002523D8"/>
    <w:rsid w:val="00256F35"/>
    <w:rsid w:val="002570CC"/>
    <w:rsid w:val="002576F1"/>
    <w:rsid w:val="0026053A"/>
    <w:rsid w:val="00260EC2"/>
    <w:rsid w:val="002616DC"/>
    <w:rsid w:val="00263142"/>
    <w:rsid w:val="00263342"/>
    <w:rsid w:val="0026496C"/>
    <w:rsid w:val="0026519C"/>
    <w:rsid w:val="00266A08"/>
    <w:rsid w:val="0027017D"/>
    <w:rsid w:val="0027028F"/>
    <w:rsid w:val="00271A5D"/>
    <w:rsid w:val="00274488"/>
    <w:rsid w:val="002763F7"/>
    <w:rsid w:val="002769FF"/>
    <w:rsid w:val="002811B6"/>
    <w:rsid w:val="0028208F"/>
    <w:rsid w:val="002859D0"/>
    <w:rsid w:val="00285D53"/>
    <w:rsid w:val="0028676E"/>
    <w:rsid w:val="00287264"/>
    <w:rsid w:val="002928F0"/>
    <w:rsid w:val="00293F79"/>
    <w:rsid w:val="00295C67"/>
    <w:rsid w:val="002967CA"/>
    <w:rsid w:val="002A0310"/>
    <w:rsid w:val="002A0A9E"/>
    <w:rsid w:val="002A14C2"/>
    <w:rsid w:val="002A2F50"/>
    <w:rsid w:val="002A3A17"/>
    <w:rsid w:val="002A5B5D"/>
    <w:rsid w:val="002A5EF1"/>
    <w:rsid w:val="002B099E"/>
    <w:rsid w:val="002B2CAD"/>
    <w:rsid w:val="002B3565"/>
    <w:rsid w:val="002B5C08"/>
    <w:rsid w:val="002B696A"/>
    <w:rsid w:val="002C4162"/>
    <w:rsid w:val="002C4A9D"/>
    <w:rsid w:val="002C6C00"/>
    <w:rsid w:val="002C7BB1"/>
    <w:rsid w:val="002D11FA"/>
    <w:rsid w:val="002D196B"/>
    <w:rsid w:val="002D228A"/>
    <w:rsid w:val="002D3095"/>
    <w:rsid w:val="002D3A58"/>
    <w:rsid w:val="002D6F2B"/>
    <w:rsid w:val="002E057A"/>
    <w:rsid w:val="002E09CE"/>
    <w:rsid w:val="002E2ED7"/>
    <w:rsid w:val="002E406E"/>
    <w:rsid w:val="002E42F5"/>
    <w:rsid w:val="002E4CA6"/>
    <w:rsid w:val="002E6937"/>
    <w:rsid w:val="002E7958"/>
    <w:rsid w:val="002F0ABE"/>
    <w:rsid w:val="002F0D49"/>
    <w:rsid w:val="002F2154"/>
    <w:rsid w:val="002F4137"/>
    <w:rsid w:val="002F4C90"/>
    <w:rsid w:val="002F513C"/>
    <w:rsid w:val="002F63F8"/>
    <w:rsid w:val="002F69F7"/>
    <w:rsid w:val="002F6C0A"/>
    <w:rsid w:val="002F77A4"/>
    <w:rsid w:val="00301A6D"/>
    <w:rsid w:val="00303120"/>
    <w:rsid w:val="003036CE"/>
    <w:rsid w:val="00303F72"/>
    <w:rsid w:val="003043A0"/>
    <w:rsid w:val="00305214"/>
    <w:rsid w:val="003067C7"/>
    <w:rsid w:val="00307903"/>
    <w:rsid w:val="00310C2A"/>
    <w:rsid w:val="00312991"/>
    <w:rsid w:val="00312F8B"/>
    <w:rsid w:val="00313518"/>
    <w:rsid w:val="00314104"/>
    <w:rsid w:val="00316009"/>
    <w:rsid w:val="00316D09"/>
    <w:rsid w:val="00321E10"/>
    <w:rsid w:val="00322192"/>
    <w:rsid w:val="00322249"/>
    <w:rsid w:val="003229F2"/>
    <w:rsid w:val="003231D7"/>
    <w:rsid w:val="00325746"/>
    <w:rsid w:val="00326BFE"/>
    <w:rsid w:val="00327102"/>
    <w:rsid w:val="003271CC"/>
    <w:rsid w:val="0032745F"/>
    <w:rsid w:val="003274B8"/>
    <w:rsid w:val="003316AD"/>
    <w:rsid w:val="00331978"/>
    <w:rsid w:val="003319B3"/>
    <w:rsid w:val="00331EDC"/>
    <w:rsid w:val="00332E44"/>
    <w:rsid w:val="0033794F"/>
    <w:rsid w:val="00337BCF"/>
    <w:rsid w:val="00340AE4"/>
    <w:rsid w:val="00341A9B"/>
    <w:rsid w:val="00343014"/>
    <w:rsid w:val="00344405"/>
    <w:rsid w:val="00344D9C"/>
    <w:rsid w:val="00344F6D"/>
    <w:rsid w:val="00345707"/>
    <w:rsid w:val="00345EA8"/>
    <w:rsid w:val="00346F90"/>
    <w:rsid w:val="00347ADB"/>
    <w:rsid w:val="00347E58"/>
    <w:rsid w:val="0035004C"/>
    <w:rsid w:val="00350EB8"/>
    <w:rsid w:val="00351572"/>
    <w:rsid w:val="00352CF0"/>
    <w:rsid w:val="00354814"/>
    <w:rsid w:val="00354A84"/>
    <w:rsid w:val="003552F0"/>
    <w:rsid w:val="00356495"/>
    <w:rsid w:val="00360AAA"/>
    <w:rsid w:val="00360AC5"/>
    <w:rsid w:val="0036185E"/>
    <w:rsid w:val="00361B83"/>
    <w:rsid w:val="00363243"/>
    <w:rsid w:val="00363FEE"/>
    <w:rsid w:val="00364DBA"/>
    <w:rsid w:val="003705E1"/>
    <w:rsid w:val="00370BF6"/>
    <w:rsid w:val="00370F0A"/>
    <w:rsid w:val="00371FC5"/>
    <w:rsid w:val="00372813"/>
    <w:rsid w:val="00373A4B"/>
    <w:rsid w:val="0037524B"/>
    <w:rsid w:val="0037568E"/>
    <w:rsid w:val="003762E7"/>
    <w:rsid w:val="003777BD"/>
    <w:rsid w:val="00380139"/>
    <w:rsid w:val="00382A6E"/>
    <w:rsid w:val="00382F02"/>
    <w:rsid w:val="00384370"/>
    <w:rsid w:val="00387EF4"/>
    <w:rsid w:val="0039038A"/>
    <w:rsid w:val="003908FE"/>
    <w:rsid w:val="00390C77"/>
    <w:rsid w:val="00391CDF"/>
    <w:rsid w:val="00392C73"/>
    <w:rsid w:val="00392D7D"/>
    <w:rsid w:val="00392DC8"/>
    <w:rsid w:val="003930B1"/>
    <w:rsid w:val="0039350E"/>
    <w:rsid w:val="003943AC"/>
    <w:rsid w:val="00395CCC"/>
    <w:rsid w:val="00397A75"/>
    <w:rsid w:val="003A04BD"/>
    <w:rsid w:val="003A1178"/>
    <w:rsid w:val="003A1248"/>
    <w:rsid w:val="003A1730"/>
    <w:rsid w:val="003A3A89"/>
    <w:rsid w:val="003A5154"/>
    <w:rsid w:val="003A5390"/>
    <w:rsid w:val="003A5E07"/>
    <w:rsid w:val="003A645A"/>
    <w:rsid w:val="003A71CF"/>
    <w:rsid w:val="003B2E81"/>
    <w:rsid w:val="003B3AFA"/>
    <w:rsid w:val="003B4181"/>
    <w:rsid w:val="003B5FA3"/>
    <w:rsid w:val="003C0352"/>
    <w:rsid w:val="003C0A3A"/>
    <w:rsid w:val="003C0A6B"/>
    <w:rsid w:val="003C1116"/>
    <w:rsid w:val="003C1938"/>
    <w:rsid w:val="003C2179"/>
    <w:rsid w:val="003C4772"/>
    <w:rsid w:val="003C7F12"/>
    <w:rsid w:val="003D0C0C"/>
    <w:rsid w:val="003D0C3E"/>
    <w:rsid w:val="003D1CF5"/>
    <w:rsid w:val="003D3F35"/>
    <w:rsid w:val="003D420E"/>
    <w:rsid w:val="003D4C38"/>
    <w:rsid w:val="003D514F"/>
    <w:rsid w:val="003D5355"/>
    <w:rsid w:val="003D5600"/>
    <w:rsid w:val="003D7239"/>
    <w:rsid w:val="003D74D7"/>
    <w:rsid w:val="003E073A"/>
    <w:rsid w:val="003E0FBB"/>
    <w:rsid w:val="003E127A"/>
    <w:rsid w:val="003E1516"/>
    <w:rsid w:val="003E1DE8"/>
    <w:rsid w:val="003E53A2"/>
    <w:rsid w:val="003E57C3"/>
    <w:rsid w:val="003E641F"/>
    <w:rsid w:val="003E6C3D"/>
    <w:rsid w:val="003E7039"/>
    <w:rsid w:val="003E70CF"/>
    <w:rsid w:val="003E7576"/>
    <w:rsid w:val="003E7EF4"/>
    <w:rsid w:val="003F033D"/>
    <w:rsid w:val="003F0464"/>
    <w:rsid w:val="003F09E1"/>
    <w:rsid w:val="003F0E25"/>
    <w:rsid w:val="003F3A6B"/>
    <w:rsid w:val="003F5ACF"/>
    <w:rsid w:val="003F5D80"/>
    <w:rsid w:val="003F6555"/>
    <w:rsid w:val="003F65AF"/>
    <w:rsid w:val="003F692E"/>
    <w:rsid w:val="003F6942"/>
    <w:rsid w:val="003F77FD"/>
    <w:rsid w:val="004010E0"/>
    <w:rsid w:val="00402446"/>
    <w:rsid w:val="004032ED"/>
    <w:rsid w:val="004047BB"/>
    <w:rsid w:val="004048F6"/>
    <w:rsid w:val="00404D7E"/>
    <w:rsid w:val="00404E0B"/>
    <w:rsid w:val="0040527F"/>
    <w:rsid w:val="00405298"/>
    <w:rsid w:val="00405585"/>
    <w:rsid w:val="00406A19"/>
    <w:rsid w:val="00406DBD"/>
    <w:rsid w:val="004074B7"/>
    <w:rsid w:val="0041098A"/>
    <w:rsid w:val="004114EB"/>
    <w:rsid w:val="004154B8"/>
    <w:rsid w:val="00415604"/>
    <w:rsid w:val="00415A5A"/>
    <w:rsid w:val="004172FD"/>
    <w:rsid w:val="004175F7"/>
    <w:rsid w:val="0042044A"/>
    <w:rsid w:val="004214EA"/>
    <w:rsid w:val="00421537"/>
    <w:rsid w:val="004233A2"/>
    <w:rsid w:val="00423828"/>
    <w:rsid w:val="0042476F"/>
    <w:rsid w:val="00424B72"/>
    <w:rsid w:val="00424C01"/>
    <w:rsid w:val="00425312"/>
    <w:rsid w:val="00425B04"/>
    <w:rsid w:val="004267B5"/>
    <w:rsid w:val="004271F6"/>
    <w:rsid w:val="004308AD"/>
    <w:rsid w:val="0043245B"/>
    <w:rsid w:val="004325AF"/>
    <w:rsid w:val="00432AED"/>
    <w:rsid w:val="00432E93"/>
    <w:rsid w:val="00434237"/>
    <w:rsid w:val="0043595E"/>
    <w:rsid w:val="00435C61"/>
    <w:rsid w:val="00435DE8"/>
    <w:rsid w:val="004363E7"/>
    <w:rsid w:val="00440228"/>
    <w:rsid w:val="00440533"/>
    <w:rsid w:val="00441B34"/>
    <w:rsid w:val="004424EA"/>
    <w:rsid w:val="004429F5"/>
    <w:rsid w:val="00442FAC"/>
    <w:rsid w:val="004438C4"/>
    <w:rsid w:val="00443E40"/>
    <w:rsid w:val="00444037"/>
    <w:rsid w:val="00445217"/>
    <w:rsid w:val="0044690F"/>
    <w:rsid w:val="00446DC7"/>
    <w:rsid w:val="00447375"/>
    <w:rsid w:val="004503EA"/>
    <w:rsid w:val="00451AC7"/>
    <w:rsid w:val="00452505"/>
    <w:rsid w:val="004532B8"/>
    <w:rsid w:val="00453414"/>
    <w:rsid w:val="0045361E"/>
    <w:rsid w:val="004541A1"/>
    <w:rsid w:val="0045498B"/>
    <w:rsid w:val="00456BBA"/>
    <w:rsid w:val="00457955"/>
    <w:rsid w:val="00457C7F"/>
    <w:rsid w:val="00460DA4"/>
    <w:rsid w:val="0046176A"/>
    <w:rsid w:val="004630CD"/>
    <w:rsid w:val="004641C7"/>
    <w:rsid w:val="0046468F"/>
    <w:rsid w:val="00465AD7"/>
    <w:rsid w:val="004666CA"/>
    <w:rsid w:val="00467C64"/>
    <w:rsid w:val="0047018C"/>
    <w:rsid w:val="004708E1"/>
    <w:rsid w:val="00470956"/>
    <w:rsid w:val="00474C4B"/>
    <w:rsid w:val="00474D8D"/>
    <w:rsid w:val="004811E6"/>
    <w:rsid w:val="00481B0A"/>
    <w:rsid w:val="004825BE"/>
    <w:rsid w:val="00482BFE"/>
    <w:rsid w:val="00483930"/>
    <w:rsid w:val="00483E0A"/>
    <w:rsid w:val="004852A5"/>
    <w:rsid w:val="004857C2"/>
    <w:rsid w:val="00487AE2"/>
    <w:rsid w:val="00490B14"/>
    <w:rsid w:val="00490E90"/>
    <w:rsid w:val="004922C0"/>
    <w:rsid w:val="0049241B"/>
    <w:rsid w:val="00493365"/>
    <w:rsid w:val="004939EA"/>
    <w:rsid w:val="004941A8"/>
    <w:rsid w:val="004948B7"/>
    <w:rsid w:val="00496331"/>
    <w:rsid w:val="00497461"/>
    <w:rsid w:val="00497EBD"/>
    <w:rsid w:val="004A079D"/>
    <w:rsid w:val="004A0C0B"/>
    <w:rsid w:val="004A2335"/>
    <w:rsid w:val="004A2CF6"/>
    <w:rsid w:val="004A3FC3"/>
    <w:rsid w:val="004A4935"/>
    <w:rsid w:val="004A5D37"/>
    <w:rsid w:val="004B0256"/>
    <w:rsid w:val="004B274E"/>
    <w:rsid w:val="004B3F8B"/>
    <w:rsid w:val="004B495B"/>
    <w:rsid w:val="004B512D"/>
    <w:rsid w:val="004B5320"/>
    <w:rsid w:val="004B59F6"/>
    <w:rsid w:val="004B6574"/>
    <w:rsid w:val="004B69B5"/>
    <w:rsid w:val="004B7377"/>
    <w:rsid w:val="004C106E"/>
    <w:rsid w:val="004C1F52"/>
    <w:rsid w:val="004C33EB"/>
    <w:rsid w:val="004C3A6A"/>
    <w:rsid w:val="004C417B"/>
    <w:rsid w:val="004C54CD"/>
    <w:rsid w:val="004C5F7A"/>
    <w:rsid w:val="004C683C"/>
    <w:rsid w:val="004C69C2"/>
    <w:rsid w:val="004D056F"/>
    <w:rsid w:val="004D0EE6"/>
    <w:rsid w:val="004D145A"/>
    <w:rsid w:val="004D1837"/>
    <w:rsid w:val="004D1868"/>
    <w:rsid w:val="004D1A8A"/>
    <w:rsid w:val="004D4324"/>
    <w:rsid w:val="004D64F1"/>
    <w:rsid w:val="004D6C34"/>
    <w:rsid w:val="004D6F88"/>
    <w:rsid w:val="004D7CAA"/>
    <w:rsid w:val="004E09DB"/>
    <w:rsid w:val="004E1501"/>
    <w:rsid w:val="004E16EA"/>
    <w:rsid w:val="004E1942"/>
    <w:rsid w:val="004E1BCE"/>
    <w:rsid w:val="004E23C4"/>
    <w:rsid w:val="004E2584"/>
    <w:rsid w:val="004E26AE"/>
    <w:rsid w:val="004E3593"/>
    <w:rsid w:val="004E45C5"/>
    <w:rsid w:val="004E4CC2"/>
    <w:rsid w:val="004E71FD"/>
    <w:rsid w:val="004E7627"/>
    <w:rsid w:val="004E7E47"/>
    <w:rsid w:val="004F34FE"/>
    <w:rsid w:val="004F4974"/>
    <w:rsid w:val="004F4EC2"/>
    <w:rsid w:val="004F6914"/>
    <w:rsid w:val="005000FF"/>
    <w:rsid w:val="00503507"/>
    <w:rsid w:val="0050358F"/>
    <w:rsid w:val="0050384A"/>
    <w:rsid w:val="00506375"/>
    <w:rsid w:val="00513B60"/>
    <w:rsid w:val="00514FB9"/>
    <w:rsid w:val="005159B5"/>
    <w:rsid w:val="00515BC7"/>
    <w:rsid w:val="00515F26"/>
    <w:rsid w:val="00520856"/>
    <w:rsid w:val="0052119C"/>
    <w:rsid w:val="00522EE1"/>
    <w:rsid w:val="00525202"/>
    <w:rsid w:val="005271E5"/>
    <w:rsid w:val="00527422"/>
    <w:rsid w:val="005307B0"/>
    <w:rsid w:val="00533697"/>
    <w:rsid w:val="00533C68"/>
    <w:rsid w:val="00536042"/>
    <w:rsid w:val="00536A93"/>
    <w:rsid w:val="005427DB"/>
    <w:rsid w:val="00542C8E"/>
    <w:rsid w:val="0054454E"/>
    <w:rsid w:val="005456A6"/>
    <w:rsid w:val="005508B9"/>
    <w:rsid w:val="00553138"/>
    <w:rsid w:val="00553B53"/>
    <w:rsid w:val="00554A74"/>
    <w:rsid w:val="00554E60"/>
    <w:rsid w:val="0055592D"/>
    <w:rsid w:val="0055748A"/>
    <w:rsid w:val="00557795"/>
    <w:rsid w:val="00560808"/>
    <w:rsid w:val="0056122E"/>
    <w:rsid w:val="005616D6"/>
    <w:rsid w:val="00562AFF"/>
    <w:rsid w:val="005637F0"/>
    <w:rsid w:val="00564145"/>
    <w:rsid w:val="00564B4E"/>
    <w:rsid w:val="0056528E"/>
    <w:rsid w:val="00565D57"/>
    <w:rsid w:val="00566D16"/>
    <w:rsid w:val="00567BB7"/>
    <w:rsid w:val="005707BB"/>
    <w:rsid w:val="00571568"/>
    <w:rsid w:val="00574499"/>
    <w:rsid w:val="0057517E"/>
    <w:rsid w:val="005755A5"/>
    <w:rsid w:val="00576379"/>
    <w:rsid w:val="00576914"/>
    <w:rsid w:val="00576E04"/>
    <w:rsid w:val="0058222C"/>
    <w:rsid w:val="005829BA"/>
    <w:rsid w:val="00582DA4"/>
    <w:rsid w:val="005837E3"/>
    <w:rsid w:val="00584A97"/>
    <w:rsid w:val="00585C82"/>
    <w:rsid w:val="00585D0F"/>
    <w:rsid w:val="00585D34"/>
    <w:rsid w:val="00587089"/>
    <w:rsid w:val="00591F19"/>
    <w:rsid w:val="005926E6"/>
    <w:rsid w:val="00592A16"/>
    <w:rsid w:val="00593A29"/>
    <w:rsid w:val="00593B98"/>
    <w:rsid w:val="005958EE"/>
    <w:rsid w:val="005A034B"/>
    <w:rsid w:val="005A1393"/>
    <w:rsid w:val="005A178C"/>
    <w:rsid w:val="005A1D82"/>
    <w:rsid w:val="005A21E4"/>
    <w:rsid w:val="005A2D9C"/>
    <w:rsid w:val="005A3A0F"/>
    <w:rsid w:val="005A402D"/>
    <w:rsid w:val="005A595F"/>
    <w:rsid w:val="005A657B"/>
    <w:rsid w:val="005A7449"/>
    <w:rsid w:val="005A7ADE"/>
    <w:rsid w:val="005B150C"/>
    <w:rsid w:val="005B1F7F"/>
    <w:rsid w:val="005B2656"/>
    <w:rsid w:val="005B5A11"/>
    <w:rsid w:val="005B6AAB"/>
    <w:rsid w:val="005B6C7B"/>
    <w:rsid w:val="005B7D9A"/>
    <w:rsid w:val="005C0A1E"/>
    <w:rsid w:val="005C10BC"/>
    <w:rsid w:val="005C1605"/>
    <w:rsid w:val="005C379E"/>
    <w:rsid w:val="005C3D20"/>
    <w:rsid w:val="005C3E7B"/>
    <w:rsid w:val="005C4019"/>
    <w:rsid w:val="005C433E"/>
    <w:rsid w:val="005C45B4"/>
    <w:rsid w:val="005C5533"/>
    <w:rsid w:val="005C5678"/>
    <w:rsid w:val="005C61F4"/>
    <w:rsid w:val="005C6A27"/>
    <w:rsid w:val="005C6E47"/>
    <w:rsid w:val="005C70EE"/>
    <w:rsid w:val="005C775F"/>
    <w:rsid w:val="005D083E"/>
    <w:rsid w:val="005D0D05"/>
    <w:rsid w:val="005D0F1A"/>
    <w:rsid w:val="005D15D4"/>
    <w:rsid w:val="005D1F9E"/>
    <w:rsid w:val="005D2199"/>
    <w:rsid w:val="005D27E2"/>
    <w:rsid w:val="005D45DF"/>
    <w:rsid w:val="005D4860"/>
    <w:rsid w:val="005D5960"/>
    <w:rsid w:val="005D5C62"/>
    <w:rsid w:val="005D71FD"/>
    <w:rsid w:val="005D7E5B"/>
    <w:rsid w:val="005E00E3"/>
    <w:rsid w:val="005E0FC9"/>
    <w:rsid w:val="005E110B"/>
    <w:rsid w:val="005E12D6"/>
    <w:rsid w:val="005E22EC"/>
    <w:rsid w:val="005E3ED3"/>
    <w:rsid w:val="005E3F22"/>
    <w:rsid w:val="005E42E3"/>
    <w:rsid w:val="005E5574"/>
    <w:rsid w:val="005E61AE"/>
    <w:rsid w:val="005E6AD6"/>
    <w:rsid w:val="005E6E91"/>
    <w:rsid w:val="005E7780"/>
    <w:rsid w:val="005F02B0"/>
    <w:rsid w:val="005F031D"/>
    <w:rsid w:val="005F2AD5"/>
    <w:rsid w:val="005F457E"/>
    <w:rsid w:val="005F474F"/>
    <w:rsid w:val="005F53B5"/>
    <w:rsid w:val="005F588F"/>
    <w:rsid w:val="005F7BBE"/>
    <w:rsid w:val="005F7D00"/>
    <w:rsid w:val="005F7FCC"/>
    <w:rsid w:val="00601167"/>
    <w:rsid w:val="00601D71"/>
    <w:rsid w:val="00601E39"/>
    <w:rsid w:val="00602529"/>
    <w:rsid w:val="00604AA1"/>
    <w:rsid w:val="006110A7"/>
    <w:rsid w:val="006112B8"/>
    <w:rsid w:val="006129F8"/>
    <w:rsid w:val="00613CD3"/>
    <w:rsid w:val="0061429B"/>
    <w:rsid w:val="006142B6"/>
    <w:rsid w:val="0061486E"/>
    <w:rsid w:val="006166BE"/>
    <w:rsid w:val="0062173D"/>
    <w:rsid w:val="006219D5"/>
    <w:rsid w:val="00622742"/>
    <w:rsid w:val="0062441B"/>
    <w:rsid w:val="00625A06"/>
    <w:rsid w:val="00627490"/>
    <w:rsid w:val="0062756B"/>
    <w:rsid w:val="0062789B"/>
    <w:rsid w:val="00627962"/>
    <w:rsid w:val="0063005B"/>
    <w:rsid w:val="00630B33"/>
    <w:rsid w:val="00630EE4"/>
    <w:rsid w:val="00631BEA"/>
    <w:rsid w:val="00632C35"/>
    <w:rsid w:val="00632DB8"/>
    <w:rsid w:val="006330A8"/>
    <w:rsid w:val="00636413"/>
    <w:rsid w:val="00636CC8"/>
    <w:rsid w:val="00640FB7"/>
    <w:rsid w:val="00641286"/>
    <w:rsid w:val="00642763"/>
    <w:rsid w:val="00642B82"/>
    <w:rsid w:val="006431B2"/>
    <w:rsid w:val="0064330B"/>
    <w:rsid w:val="00644B96"/>
    <w:rsid w:val="0064539A"/>
    <w:rsid w:val="00646A30"/>
    <w:rsid w:val="0064701C"/>
    <w:rsid w:val="006471A1"/>
    <w:rsid w:val="00651533"/>
    <w:rsid w:val="006526E8"/>
    <w:rsid w:val="0065463E"/>
    <w:rsid w:val="006568C4"/>
    <w:rsid w:val="00656F99"/>
    <w:rsid w:val="006573D6"/>
    <w:rsid w:val="006602B0"/>
    <w:rsid w:val="00662428"/>
    <w:rsid w:val="00662452"/>
    <w:rsid w:val="00663166"/>
    <w:rsid w:val="00664748"/>
    <w:rsid w:val="00664DD4"/>
    <w:rsid w:val="00665416"/>
    <w:rsid w:val="0066654F"/>
    <w:rsid w:val="00670E58"/>
    <w:rsid w:val="00673218"/>
    <w:rsid w:val="006742CD"/>
    <w:rsid w:val="00675B09"/>
    <w:rsid w:val="00675EC1"/>
    <w:rsid w:val="006776CB"/>
    <w:rsid w:val="0068061B"/>
    <w:rsid w:val="00681526"/>
    <w:rsid w:val="006819F9"/>
    <w:rsid w:val="0068261E"/>
    <w:rsid w:val="0068310A"/>
    <w:rsid w:val="00685942"/>
    <w:rsid w:val="00685F0A"/>
    <w:rsid w:val="006867B5"/>
    <w:rsid w:val="00686E4B"/>
    <w:rsid w:val="00687460"/>
    <w:rsid w:val="00687B3F"/>
    <w:rsid w:val="00691A27"/>
    <w:rsid w:val="0069370B"/>
    <w:rsid w:val="00693802"/>
    <w:rsid w:val="00693DB9"/>
    <w:rsid w:val="00694E58"/>
    <w:rsid w:val="00697882"/>
    <w:rsid w:val="006A15E3"/>
    <w:rsid w:val="006A2B3B"/>
    <w:rsid w:val="006A4D4D"/>
    <w:rsid w:val="006A5A3F"/>
    <w:rsid w:val="006A60D4"/>
    <w:rsid w:val="006A6C3C"/>
    <w:rsid w:val="006B031E"/>
    <w:rsid w:val="006B1305"/>
    <w:rsid w:val="006B13CA"/>
    <w:rsid w:val="006B2664"/>
    <w:rsid w:val="006B45DE"/>
    <w:rsid w:val="006B4A74"/>
    <w:rsid w:val="006B5A9F"/>
    <w:rsid w:val="006B68BA"/>
    <w:rsid w:val="006C4096"/>
    <w:rsid w:val="006C6CAE"/>
    <w:rsid w:val="006D0085"/>
    <w:rsid w:val="006D0CBE"/>
    <w:rsid w:val="006D466C"/>
    <w:rsid w:val="006D4B14"/>
    <w:rsid w:val="006D4B8C"/>
    <w:rsid w:val="006D54D7"/>
    <w:rsid w:val="006D551F"/>
    <w:rsid w:val="006D739F"/>
    <w:rsid w:val="006D7EC3"/>
    <w:rsid w:val="006E002D"/>
    <w:rsid w:val="006E0763"/>
    <w:rsid w:val="006E163C"/>
    <w:rsid w:val="006E26C1"/>
    <w:rsid w:val="006E298A"/>
    <w:rsid w:val="006E2EA2"/>
    <w:rsid w:val="006E48E2"/>
    <w:rsid w:val="006E498D"/>
    <w:rsid w:val="006E55E6"/>
    <w:rsid w:val="006F04FF"/>
    <w:rsid w:val="006F0517"/>
    <w:rsid w:val="006F1433"/>
    <w:rsid w:val="006F17CB"/>
    <w:rsid w:val="006F237C"/>
    <w:rsid w:val="006F241A"/>
    <w:rsid w:val="006F2768"/>
    <w:rsid w:val="006F28BA"/>
    <w:rsid w:val="006F3A32"/>
    <w:rsid w:val="006F3D92"/>
    <w:rsid w:val="006F45A7"/>
    <w:rsid w:val="006F49EF"/>
    <w:rsid w:val="006F72CB"/>
    <w:rsid w:val="006F793F"/>
    <w:rsid w:val="006F79D7"/>
    <w:rsid w:val="00702640"/>
    <w:rsid w:val="00704513"/>
    <w:rsid w:val="0070542E"/>
    <w:rsid w:val="00710638"/>
    <w:rsid w:val="007123BC"/>
    <w:rsid w:val="007123C5"/>
    <w:rsid w:val="00712A5E"/>
    <w:rsid w:val="00713067"/>
    <w:rsid w:val="007162E5"/>
    <w:rsid w:val="007168FE"/>
    <w:rsid w:val="00721801"/>
    <w:rsid w:val="00721878"/>
    <w:rsid w:val="0072248D"/>
    <w:rsid w:val="007224A9"/>
    <w:rsid w:val="00722FDC"/>
    <w:rsid w:val="007249FD"/>
    <w:rsid w:val="0072505F"/>
    <w:rsid w:val="007253C0"/>
    <w:rsid w:val="00726CE4"/>
    <w:rsid w:val="00727136"/>
    <w:rsid w:val="007303C5"/>
    <w:rsid w:val="00730D52"/>
    <w:rsid w:val="007311B6"/>
    <w:rsid w:val="00731280"/>
    <w:rsid w:val="007313FB"/>
    <w:rsid w:val="00731A25"/>
    <w:rsid w:val="00731DB6"/>
    <w:rsid w:val="00732C36"/>
    <w:rsid w:val="00734360"/>
    <w:rsid w:val="0073494B"/>
    <w:rsid w:val="007350AD"/>
    <w:rsid w:val="00740597"/>
    <w:rsid w:val="007424CE"/>
    <w:rsid w:val="00742502"/>
    <w:rsid w:val="0074274D"/>
    <w:rsid w:val="00743C0F"/>
    <w:rsid w:val="00743D2D"/>
    <w:rsid w:val="00743E36"/>
    <w:rsid w:val="00744320"/>
    <w:rsid w:val="007448E5"/>
    <w:rsid w:val="00745289"/>
    <w:rsid w:val="0074553A"/>
    <w:rsid w:val="007469BF"/>
    <w:rsid w:val="007472BE"/>
    <w:rsid w:val="00747FD0"/>
    <w:rsid w:val="00751153"/>
    <w:rsid w:val="00751433"/>
    <w:rsid w:val="00751AB6"/>
    <w:rsid w:val="00754ACE"/>
    <w:rsid w:val="00754D00"/>
    <w:rsid w:val="00755695"/>
    <w:rsid w:val="00756E04"/>
    <w:rsid w:val="007609F7"/>
    <w:rsid w:val="0076339A"/>
    <w:rsid w:val="0076381C"/>
    <w:rsid w:val="00763858"/>
    <w:rsid w:val="0076479B"/>
    <w:rsid w:val="007651D6"/>
    <w:rsid w:val="00766245"/>
    <w:rsid w:val="007664A4"/>
    <w:rsid w:val="00767BC4"/>
    <w:rsid w:val="007704CC"/>
    <w:rsid w:val="00770B07"/>
    <w:rsid w:val="00771D94"/>
    <w:rsid w:val="007728A4"/>
    <w:rsid w:val="007735B0"/>
    <w:rsid w:val="00773B22"/>
    <w:rsid w:val="007742BC"/>
    <w:rsid w:val="0077570F"/>
    <w:rsid w:val="00775739"/>
    <w:rsid w:val="00775FC5"/>
    <w:rsid w:val="00776F5F"/>
    <w:rsid w:val="0077757C"/>
    <w:rsid w:val="00780169"/>
    <w:rsid w:val="0078193F"/>
    <w:rsid w:val="00781982"/>
    <w:rsid w:val="00781A90"/>
    <w:rsid w:val="007824B8"/>
    <w:rsid w:val="00783F81"/>
    <w:rsid w:val="0078556E"/>
    <w:rsid w:val="007872F7"/>
    <w:rsid w:val="00787571"/>
    <w:rsid w:val="0078766B"/>
    <w:rsid w:val="007900A7"/>
    <w:rsid w:val="007916C8"/>
    <w:rsid w:val="00792DEA"/>
    <w:rsid w:val="0079441C"/>
    <w:rsid w:val="00794F4D"/>
    <w:rsid w:val="00795327"/>
    <w:rsid w:val="007963A6"/>
    <w:rsid w:val="007A0364"/>
    <w:rsid w:val="007A0C44"/>
    <w:rsid w:val="007A2388"/>
    <w:rsid w:val="007A408F"/>
    <w:rsid w:val="007A4926"/>
    <w:rsid w:val="007A4B70"/>
    <w:rsid w:val="007A4D49"/>
    <w:rsid w:val="007A50F4"/>
    <w:rsid w:val="007A6412"/>
    <w:rsid w:val="007A6F6E"/>
    <w:rsid w:val="007A6FF9"/>
    <w:rsid w:val="007A72BE"/>
    <w:rsid w:val="007B3366"/>
    <w:rsid w:val="007B4609"/>
    <w:rsid w:val="007B50D1"/>
    <w:rsid w:val="007B54C1"/>
    <w:rsid w:val="007B5B9E"/>
    <w:rsid w:val="007B5BC9"/>
    <w:rsid w:val="007B5DF0"/>
    <w:rsid w:val="007B5E54"/>
    <w:rsid w:val="007B64FA"/>
    <w:rsid w:val="007B6E59"/>
    <w:rsid w:val="007C0A25"/>
    <w:rsid w:val="007C3412"/>
    <w:rsid w:val="007C3F63"/>
    <w:rsid w:val="007C4236"/>
    <w:rsid w:val="007C6BEF"/>
    <w:rsid w:val="007C6C6F"/>
    <w:rsid w:val="007D0020"/>
    <w:rsid w:val="007D1697"/>
    <w:rsid w:val="007D2269"/>
    <w:rsid w:val="007D30EC"/>
    <w:rsid w:val="007D3859"/>
    <w:rsid w:val="007D4604"/>
    <w:rsid w:val="007D4946"/>
    <w:rsid w:val="007D601A"/>
    <w:rsid w:val="007D6679"/>
    <w:rsid w:val="007D6937"/>
    <w:rsid w:val="007D7D02"/>
    <w:rsid w:val="007E0311"/>
    <w:rsid w:val="007E60A4"/>
    <w:rsid w:val="007E78C3"/>
    <w:rsid w:val="007F0BF7"/>
    <w:rsid w:val="007F0DB4"/>
    <w:rsid w:val="007F2721"/>
    <w:rsid w:val="007F2C94"/>
    <w:rsid w:val="007F3817"/>
    <w:rsid w:val="007F3D81"/>
    <w:rsid w:val="007F407E"/>
    <w:rsid w:val="007F6199"/>
    <w:rsid w:val="007F628A"/>
    <w:rsid w:val="007F64F9"/>
    <w:rsid w:val="007F713E"/>
    <w:rsid w:val="007F78D3"/>
    <w:rsid w:val="008003F7"/>
    <w:rsid w:val="00802CB8"/>
    <w:rsid w:val="008030E8"/>
    <w:rsid w:val="008031E3"/>
    <w:rsid w:val="0080353C"/>
    <w:rsid w:val="008043D9"/>
    <w:rsid w:val="00805653"/>
    <w:rsid w:val="00806637"/>
    <w:rsid w:val="00811480"/>
    <w:rsid w:val="00811ABA"/>
    <w:rsid w:val="008147EC"/>
    <w:rsid w:val="00816DEF"/>
    <w:rsid w:val="008175AE"/>
    <w:rsid w:val="00817BAC"/>
    <w:rsid w:val="00820E94"/>
    <w:rsid w:val="00821D64"/>
    <w:rsid w:val="008223F1"/>
    <w:rsid w:val="00822EA3"/>
    <w:rsid w:val="00823174"/>
    <w:rsid w:val="00824841"/>
    <w:rsid w:val="0082797F"/>
    <w:rsid w:val="00831439"/>
    <w:rsid w:val="0083146F"/>
    <w:rsid w:val="00831E73"/>
    <w:rsid w:val="0083256E"/>
    <w:rsid w:val="00832907"/>
    <w:rsid w:val="00834B74"/>
    <w:rsid w:val="0083578E"/>
    <w:rsid w:val="0083660F"/>
    <w:rsid w:val="0083757A"/>
    <w:rsid w:val="00841B99"/>
    <w:rsid w:val="00842883"/>
    <w:rsid w:val="008430DA"/>
    <w:rsid w:val="00843646"/>
    <w:rsid w:val="00844547"/>
    <w:rsid w:val="00844DA1"/>
    <w:rsid w:val="00844EA0"/>
    <w:rsid w:val="00844F26"/>
    <w:rsid w:val="008452EA"/>
    <w:rsid w:val="008469DA"/>
    <w:rsid w:val="00847C59"/>
    <w:rsid w:val="0085028B"/>
    <w:rsid w:val="0085107E"/>
    <w:rsid w:val="00851E25"/>
    <w:rsid w:val="0085434E"/>
    <w:rsid w:val="008558AD"/>
    <w:rsid w:val="00860D8F"/>
    <w:rsid w:val="00861598"/>
    <w:rsid w:val="008617F1"/>
    <w:rsid w:val="0086236A"/>
    <w:rsid w:val="008623C9"/>
    <w:rsid w:val="0086312A"/>
    <w:rsid w:val="00863FBD"/>
    <w:rsid w:val="0086400F"/>
    <w:rsid w:val="008662AE"/>
    <w:rsid w:val="0086639D"/>
    <w:rsid w:val="00866585"/>
    <w:rsid w:val="008736DC"/>
    <w:rsid w:val="00873B66"/>
    <w:rsid w:val="00875E7F"/>
    <w:rsid w:val="00877DD1"/>
    <w:rsid w:val="0088156C"/>
    <w:rsid w:val="00881DC3"/>
    <w:rsid w:val="00881E53"/>
    <w:rsid w:val="008820DB"/>
    <w:rsid w:val="008832BD"/>
    <w:rsid w:val="0088389E"/>
    <w:rsid w:val="00883CD4"/>
    <w:rsid w:val="0088452D"/>
    <w:rsid w:val="00884717"/>
    <w:rsid w:val="00884829"/>
    <w:rsid w:val="0088526E"/>
    <w:rsid w:val="00885285"/>
    <w:rsid w:val="00886F24"/>
    <w:rsid w:val="0088729D"/>
    <w:rsid w:val="0088768D"/>
    <w:rsid w:val="00892F3E"/>
    <w:rsid w:val="008939F8"/>
    <w:rsid w:val="00893D49"/>
    <w:rsid w:val="00895A4E"/>
    <w:rsid w:val="00895C04"/>
    <w:rsid w:val="00895D27"/>
    <w:rsid w:val="0089678D"/>
    <w:rsid w:val="008A0287"/>
    <w:rsid w:val="008A02A6"/>
    <w:rsid w:val="008A0460"/>
    <w:rsid w:val="008A3A56"/>
    <w:rsid w:val="008A413C"/>
    <w:rsid w:val="008A506C"/>
    <w:rsid w:val="008A519A"/>
    <w:rsid w:val="008A52BB"/>
    <w:rsid w:val="008A58FA"/>
    <w:rsid w:val="008A63B2"/>
    <w:rsid w:val="008A6C5E"/>
    <w:rsid w:val="008B06DF"/>
    <w:rsid w:val="008B0C90"/>
    <w:rsid w:val="008B0DF6"/>
    <w:rsid w:val="008B1295"/>
    <w:rsid w:val="008B2D47"/>
    <w:rsid w:val="008B31EC"/>
    <w:rsid w:val="008B35CF"/>
    <w:rsid w:val="008B43DB"/>
    <w:rsid w:val="008B6035"/>
    <w:rsid w:val="008B6214"/>
    <w:rsid w:val="008B6400"/>
    <w:rsid w:val="008B6486"/>
    <w:rsid w:val="008B6555"/>
    <w:rsid w:val="008B6A89"/>
    <w:rsid w:val="008B7A01"/>
    <w:rsid w:val="008C1720"/>
    <w:rsid w:val="008C2380"/>
    <w:rsid w:val="008C3410"/>
    <w:rsid w:val="008C4674"/>
    <w:rsid w:val="008C5596"/>
    <w:rsid w:val="008C5B4F"/>
    <w:rsid w:val="008C60AF"/>
    <w:rsid w:val="008C7C8E"/>
    <w:rsid w:val="008D135F"/>
    <w:rsid w:val="008D13DB"/>
    <w:rsid w:val="008D2E2E"/>
    <w:rsid w:val="008D470C"/>
    <w:rsid w:val="008E048D"/>
    <w:rsid w:val="008E1EC7"/>
    <w:rsid w:val="008E3912"/>
    <w:rsid w:val="008E4F6A"/>
    <w:rsid w:val="008E56B7"/>
    <w:rsid w:val="008E5743"/>
    <w:rsid w:val="008E5DD8"/>
    <w:rsid w:val="008E6282"/>
    <w:rsid w:val="008E7708"/>
    <w:rsid w:val="008F1695"/>
    <w:rsid w:val="008F1ADA"/>
    <w:rsid w:val="008F2BC1"/>
    <w:rsid w:val="008F2D78"/>
    <w:rsid w:val="008F3872"/>
    <w:rsid w:val="008F46AE"/>
    <w:rsid w:val="008F4C07"/>
    <w:rsid w:val="008F54D9"/>
    <w:rsid w:val="008F5843"/>
    <w:rsid w:val="008F6902"/>
    <w:rsid w:val="008F7101"/>
    <w:rsid w:val="0090015D"/>
    <w:rsid w:val="00901B74"/>
    <w:rsid w:val="00901C27"/>
    <w:rsid w:val="00902B09"/>
    <w:rsid w:val="00902BFE"/>
    <w:rsid w:val="009037A6"/>
    <w:rsid w:val="00903C25"/>
    <w:rsid w:val="009050EE"/>
    <w:rsid w:val="009051A5"/>
    <w:rsid w:val="00906805"/>
    <w:rsid w:val="00907EBB"/>
    <w:rsid w:val="00907F2C"/>
    <w:rsid w:val="00910F41"/>
    <w:rsid w:val="0091157B"/>
    <w:rsid w:val="00913B46"/>
    <w:rsid w:val="00914BC2"/>
    <w:rsid w:val="0091669F"/>
    <w:rsid w:val="00916A3F"/>
    <w:rsid w:val="00920C16"/>
    <w:rsid w:val="00920C1F"/>
    <w:rsid w:val="00922921"/>
    <w:rsid w:val="00923F25"/>
    <w:rsid w:val="009256F5"/>
    <w:rsid w:val="00925937"/>
    <w:rsid w:val="00925F31"/>
    <w:rsid w:val="00926234"/>
    <w:rsid w:val="009306C0"/>
    <w:rsid w:val="00930751"/>
    <w:rsid w:val="00931AAA"/>
    <w:rsid w:val="009340AF"/>
    <w:rsid w:val="00935013"/>
    <w:rsid w:val="0093525A"/>
    <w:rsid w:val="00936254"/>
    <w:rsid w:val="00936C8A"/>
    <w:rsid w:val="0093757F"/>
    <w:rsid w:val="00940968"/>
    <w:rsid w:val="009421A4"/>
    <w:rsid w:val="00943156"/>
    <w:rsid w:val="00945441"/>
    <w:rsid w:val="009471F2"/>
    <w:rsid w:val="009476A3"/>
    <w:rsid w:val="0095009F"/>
    <w:rsid w:val="009508F7"/>
    <w:rsid w:val="00950B8C"/>
    <w:rsid w:val="00952A4F"/>
    <w:rsid w:val="00952C11"/>
    <w:rsid w:val="009571AC"/>
    <w:rsid w:val="009575F3"/>
    <w:rsid w:val="00957848"/>
    <w:rsid w:val="00962032"/>
    <w:rsid w:val="00964EC5"/>
    <w:rsid w:val="00965330"/>
    <w:rsid w:val="009656E8"/>
    <w:rsid w:val="0096582E"/>
    <w:rsid w:val="00966236"/>
    <w:rsid w:val="009667F9"/>
    <w:rsid w:val="00966E68"/>
    <w:rsid w:val="009671BD"/>
    <w:rsid w:val="009678D7"/>
    <w:rsid w:val="00970C9F"/>
    <w:rsid w:val="0097120A"/>
    <w:rsid w:val="00971EE7"/>
    <w:rsid w:val="00972055"/>
    <w:rsid w:val="0097335D"/>
    <w:rsid w:val="009752D5"/>
    <w:rsid w:val="00976D5E"/>
    <w:rsid w:val="00977187"/>
    <w:rsid w:val="0098086F"/>
    <w:rsid w:val="00980A20"/>
    <w:rsid w:val="00980DD6"/>
    <w:rsid w:val="00982670"/>
    <w:rsid w:val="009831DD"/>
    <w:rsid w:val="00984607"/>
    <w:rsid w:val="009846DB"/>
    <w:rsid w:val="009855F4"/>
    <w:rsid w:val="00985EEE"/>
    <w:rsid w:val="00986AA0"/>
    <w:rsid w:val="00987127"/>
    <w:rsid w:val="00987FEB"/>
    <w:rsid w:val="00991314"/>
    <w:rsid w:val="009925AD"/>
    <w:rsid w:val="009926F1"/>
    <w:rsid w:val="009950F1"/>
    <w:rsid w:val="009957C1"/>
    <w:rsid w:val="00995825"/>
    <w:rsid w:val="00995BB5"/>
    <w:rsid w:val="00997448"/>
    <w:rsid w:val="009A352D"/>
    <w:rsid w:val="009A447C"/>
    <w:rsid w:val="009A4C6B"/>
    <w:rsid w:val="009A54F7"/>
    <w:rsid w:val="009A5F5A"/>
    <w:rsid w:val="009A6F38"/>
    <w:rsid w:val="009A6FDF"/>
    <w:rsid w:val="009A72F9"/>
    <w:rsid w:val="009A7E75"/>
    <w:rsid w:val="009B052C"/>
    <w:rsid w:val="009B2898"/>
    <w:rsid w:val="009B2F76"/>
    <w:rsid w:val="009B38BB"/>
    <w:rsid w:val="009B411E"/>
    <w:rsid w:val="009B4639"/>
    <w:rsid w:val="009B61D6"/>
    <w:rsid w:val="009B7BAC"/>
    <w:rsid w:val="009C01B3"/>
    <w:rsid w:val="009C2895"/>
    <w:rsid w:val="009C33D4"/>
    <w:rsid w:val="009C33F1"/>
    <w:rsid w:val="009C34EF"/>
    <w:rsid w:val="009C3B90"/>
    <w:rsid w:val="009C401A"/>
    <w:rsid w:val="009C4212"/>
    <w:rsid w:val="009C451A"/>
    <w:rsid w:val="009C55A4"/>
    <w:rsid w:val="009C66D1"/>
    <w:rsid w:val="009D01B2"/>
    <w:rsid w:val="009D0701"/>
    <w:rsid w:val="009D0F4F"/>
    <w:rsid w:val="009D1BC6"/>
    <w:rsid w:val="009D31EF"/>
    <w:rsid w:val="009D3537"/>
    <w:rsid w:val="009D3EDE"/>
    <w:rsid w:val="009D4241"/>
    <w:rsid w:val="009D4846"/>
    <w:rsid w:val="009D4C4C"/>
    <w:rsid w:val="009D552E"/>
    <w:rsid w:val="009D5992"/>
    <w:rsid w:val="009D6751"/>
    <w:rsid w:val="009D70A5"/>
    <w:rsid w:val="009D768B"/>
    <w:rsid w:val="009D787D"/>
    <w:rsid w:val="009E1626"/>
    <w:rsid w:val="009E1FC4"/>
    <w:rsid w:val="009E3E08"/>
    <w:rsid w:val="009E698E"/>
    <w:rsid w:val="009E7DD5"/>
    <w:rsid w:val="009E7E59"/>
    <w:rsid w:val="009F0A61"/>
    <w:rsid w:val="009F11DF"/>
    <w:rsid w:val="009F2A41"/>
    <w:rsid w:val="009F5537"/>
    <w:rsid w:val="009F570B"/>
    <w:rsid w:val="00A0075C"/>
    <w:rsid w:val="00A00A7E"/>
    <w:rsid w:val="00A0166E"/>
    <w:rsid w:val="00A018A7"/>
    <w:rsid w:val="00A02533"/>
    <w:rsid w:val="00A02E3B"/>
    <w:rsid w:val="00A0443E"/>
    <w:rsid w:val="00A05E0B"/>
    <w:rsid w:val="00A074C8"/>
    <w:rsid w:val="00A10AAF"/>
    <w:rsid w:val="00A10C6D"/>
    <w:rsid w:val="00A11F4A"/>
    <w:rsid w:val="00A136ED"/>
    <w:rsid w:val="00A15FB9"/>
    <w:rsid w:val="00A16333"/>
    <w:rsid w:val="00A1750D"/>
    <w:rsid w:val="00A17690"/>
    <w:rsid w:val="00A20ADB"/>
    <w:rsid w:val="00A21660"/>
    <w:rsid w:val="00A2185D"/>
    <w:rsid w:val="00A222C9"/>
    <w:rsid w:val="00A22CF7"/>
    <w:rsid w:val="00A23005"/>
    <w:rsid w:val="00A23547"/>
    <w:rsid w:val="00A241E1"/>
    <w:rsid w:val="00A2434D"/>
    <w:rsid w:val="00A244AE"/>
    <w:rsid w:val="00A272D7"/>
    <w:rsid w:val="00A27D14"/>
    <w:rsid w:val="00A30950"/>
    <w:rsid w:val="00A30BB9"/>
    <w:rsid w:val="00A314B0"/>
    <w:rsid w:val="00A347A0"/>
    <w:rsid w:val="00A35149"/>
    <w:rsid w:val="00A353CB"/>
    <w:rsid w:val="00A35638"/>
    <w:rsid w:val="00A35C3A"/>
    <w:rsid w:val="00A36F32"/>
    <w:rsid w:val="00A3723D"/>
    <w:rsid w:val="00A37D52"/>
    <w:rsid w:val="00A40888"/>
    <w:rsid w:val="00A40B24"/>
    <w:rsid w:val="00A41CC6"/>
    <w:rsid w:val="00A42185"/>
    <w:rsid w:val="00A424ED"/>
    <w:rsid w:val="00A434CE"/>
    <w:rsid w:val="00A43CEF"/>
    <w:rsid w:val="00A4452D"/>
    <w:rsid w:val="00A47796"/>
    <w:rsid w:val="00A47890"/>
    <w:rsid w:val="00A47C6C"/>
    <w:rsid w:val="00A50000"/>
    <w:rsid w:val="00A508F2"/>
    <w:rsid w:val="00A511BF"/>
    <w:rsid w:val="00A51EC4"/>
    <w:rsid w:val="00A51F59"/>
    <w:rsid w:val="00A51FF6"/>
    <w:rsid w:val="00A5272E"/>
    <w:rsid w:val="00A53709"/>
    <w:rsid w:val="00A53EFF"/>
    <w:rsid w:val="00A5462B"/>
    <w:rsid w:val="00A55272"/>
    <w:rsid w:val="00A565A9"/>
    <w:rsid w:val="00A56A58"/>
    <w:rsid w:val="00A5779A"/>
    <w:rsid w:val="00A6052A"/>
    <w:rsid w:val="00A6238A"/>
    <w:rsid w:val="00A6295B"/>
    <w:rsid w:val="00A62D4B"/>
    <w:rsid w:val="00A62FC9"/>
    <w:rsid w:val="00A63559"/>
    <w:rsid w:val="00A64967"/>
    <w:rsid w:val="00A67194"/>
    <w:rsid w:val="00A6747E"/>
    <w:rsid w:val="00A711AA"/>
    <w:rsid w:val="00A74382"/>
    <w:rsid w:val="00A75C85"/>
    <w:rsid w:val="00A7660E"/>
    <w:rsid w:val="00A76A1D"/>
    <w:rsid w:val="00A775FA"/>
    <w:rsid w:val="00A77F01"/>
    <w:rsid w:val="00A80F72"/>
    <w:rsid w:val="00A83C36"/>
    <w:rsid w:val="00A8449B"/>
    <w:rsid w:val="00A849B5"/>
    <w:rsid w:val="00A84A47"/>
    <w:rsid w:val="00A85508"/>
    <w:rsid w:val="00A85966"/>
    <w:rsid w:val="00A85C24"/>
    <w:rsid w:val="00A87068"/>
    <w:rsid w:val="00A901FA"/>
    <w:rsid w:val="00A90A0A"/>
    <w:rsid w:val="00A9144F"/>
    <w:rsid w:val="00A937A4"/>
    <w:rsid w:val="00A94533"/>
    <w:rsid w:val="00A9469D"/>
    <w:rsid w:val="00A95277"/>
    <w:rsid w:val="00A95335"/>
    <w:rsid w:val="00AA063B"/>
    <w:rsid w:val="00AA0A0D"/>
    <w:rsid w:val="00AA0D21"/>
    <w:rsid w:val="00AA1CA9"/>
    <w:rsid w:val="00AA258C"/>
    <w:rsid w:val="00AA30AB"/>
    <w:rsid w:val="00AA547C"/>
    <w:rsid w:val="00AA6E20"/>
    <w:rsid w:val="00AB0B80"/>
    <w:rsid w:val="00AB282C"/>
    <w:rsid w:val="00AB66B9"/>
    <w:rsid w:val="00AC1133"/>
    <w:rsid w:val="00AC2FFD"/>
    <w:rsid w:val="00AC3612"/>
    <w:rsid w:val="00AC3ED9"/>
    <w:rsid w:val="00AC4852"/>
    <w:rsid w:val="00AC506E"/>
    <w:rsid w:val="00AC5712"/>
    <w:rsid w:val="00AC74F5"/>
    <w:rsid w:val="00AC7757"/>
    <w:rsid w:val="00AC7C35"/>
    <w:rsid w:val="00AD0DD7"/>
    <w:rsid w:val="00AD164E"/>
    <w:rsid w:val="00AD1F67"/>
    <w:rsid w:val="00AD3610"/>
    <w:rsid w:val="00AD36AD"/>
    <w:rsid w:val="00AD6E50"/>
    <w:rsid w:val="00AD76BE"/>
    <w:rsid w:val="00AD7FCC"/>
    <w:rsid w:val="00AE14B3"/>
    <w:rsid w:val="00AE18DE"/>
    <w:rsid w:val="00AE1D6B"/>
    <w:rsid w:val="00AE1EFA"/>
    <w:rsid w:val="00AE254A"/>
    <w:rsid w:val="00AE33A9"/>
    <w:rsid w:val="00AE3BA4"/>
    <w:rsid w:val="00AE669A"/>
    <w:rsid w:val="00AF09E4"/>
    <w:rsid w:val="00AF203D"/>
    <w:rsid w:val="00AF3EAB"/>
    <w:rsid w:val="00AF41A3"/>
    <w:rsid w:val="00AF4241"/>
    <w:rsid w:val="00AF4CEE"/>
    <w:rsid w:val="00AF5F2F"/>
    <w:rsid w:val="00B01BE1"/>
    <w:rsid w:val="00B02C97"/>
    <w:rsid w:val="00B031F9"/>
    <w:rsid w:val="00B0433E"/>
    <w:rsid w:val="00B052C7"/>
    <w:rsid w:val="00B05A04"/>
    <w:rsid w:val="00B0620B"/>
    <w:rsid w:val="00B066FB"/>
    <w:rsid w:val="00B072D6"/>
    <w:rsid w:val="00B07DAD"/>
    <w:rsid w:val="00B11C1F"/>
    <w:rsid w:val="00B12B95"/>
    <w:rsid w:val="00B14A10"/>
    <w:rsid w:val="00B14B96"/>
    <w:rsid w:val="00B1674F"/>
    <w:rsid w:val="00B16DB0"/>
    <w:rsid w:val="00B172FE"/>
    <w:rsid w:val="00B20832"/>
    <w:rsid w:val="00B20D7D"/>
    <w:rsid w:val="00B211BF"/>
    <w:rsid w:val="00B22A80"/>
    <w:rsid w:val="00B235B6"/>
    <w:rsid w:val="00B250B4"/>
    <w:rsid w:val="00B25E28"/>
    <w:rsid w:val="00B2681B"/>
    <w:rsid w:val="00B26BA9"/>
    <w:rsid w:val="00B30285"/>
    <w:rsid w:val="00B3218E"/>
    <w:rsid w:val="00B32CA3"/>
    <w:rsid w:val="00B3321E"/>
    <w:rsid w:val="00B335F9"/>
    <w:rsid w:val="00B33F95"/>
    <w:rsid w:val="00B34BF2"/>
    <w:rsid w:val="00B35EAD"/>
    <w:rsid w:val="00B36D62"/>
    <w:rsid w:val="00B37B1C"/>
    <w:rsid w:val="00B40121"/>
    <w:rsid w:val="00B40582"/>
    <w:rsid w:val="00B42E82"/>
    <w:rsid w:val="00B450C6"/>
    <w:rsid w:val="00B45935"/>
    <w:rsid w:val="00B46089"/>
    <w:rsid w:val="00B46356"/>
    <w:rsid w:val="00B4719C"/>
    <w:rsid w:val="00B472C2"/>
    <w:rsid w:val="00B504A1"/>
    <w:rsid w:val="00B50F9C"/>
    <w:rsid w:val="00B50FBE"/>
    <w:rsid w:val="00B51329"/>
    <w:rsid w:val="00B518A2"/>
    <w:rsid w:val="00B52BFB"/>
    <w:rsid w:val="00B532A4"/>
    <w:rsid w:val="00B541EA"/>
    <w:rsid w:val="00B54BA8"/>
    <w:rsid w:val="00B57301"/>
    <w:rsid w:val="00B5789A"/>
    <w:rsid w:val="00B63283"/>
    <w:rsid w:val="00B65114"/>
    <w:rsid w:val="00B659E4"/>
    <w:rsid w:val="00B671DD"/>
    <w:rsid w:val="00B70954"/>
    <w:rsid w:val="00B746ED"/>
    <w:rsid w:val="00B7592F"/>
    <w:rsid w:val="00B75D7A"/>
    <w:rsid w:val="00B7680D"/>
    <w:rsid w:val="00B77593"/>
    <w:rsid w:val="00B77AAF"/>
    <w:rsid w:val="00B80871"/>
    <w:rsid w:val="00B81A81"/>
    <w:rsid w:val="00B81AEE"/>
    <w:rsid w:val="00B81B4B"/>
    <w:rsid w:val="00B828F9"/>
    <w:rsid w:val="00B84CD7"/>
    <w:rsid w:val="00B85613"/>
    <w:rsid w:val="00B85CC4"/>
    <w:rsid w:val="00B869EF"/>
    <w:rsid w:val="00B87099"/>
    <w:rsid w:val="00B871E6"/>
    <w:rsid w:val="00B87398"/>
    <w:rsid w:val="00B8779A"/>
    <w:rsid w:val="00B90799"/>
    <w:rsid w:val="00B93820"/>
    <w:rsid w:val="00B93D74"/>
    <w:rsid w:val="00B973F7"/>
    <w:rsid w:val="00BA0267"/>
    <w:rsid w:val="00BA0D33"/>
    <w:rsid w:val="00BA1091"/>
    <w:rsid w:val="00BA2A36"/>
    <w:rsid w:val="00BA43B8"/>
    <w:rsid w:val="00BA6261"/>
    <w:rsid w:val="00BA65D8"/>
    <w:rsid w:val="00BA68F9"/>
    <w:rsid w:val="00BA707A"/>
    <w:rsid w:val="00BB0D94"/>
    <w:rsid w:val="00BB1475"/>
    <w:rsid w:val="00BB3082"/>
    <w:rsid w:val="00BB3280"/>
    <w:rsid w:val="00BB3317"/>
    <w:rsid w:val="00BB36D0"/>
    <w:rsid w:val="00BB37D9"/>
    <w:rsid w:val="00BB3F12"/>
    <w:rsid w:val="00BB3F83"/>
    <w:rsid w:val="00BB4164"/>
    <w:rsid w:val="00BB5216"/>
    <w:rsid w:val="00BB553E"/>
    <w:rsid w:val="00BB5DE7"/>
    <w:rsid w:val="00BB5FFF"/>
    <w:rsid w:val="00BC0A4F"/>
    <w:rsid w:val="00BC15EE"/>
    <w:rsid w:val="00BC35BD"/>
    <w:rsid w:val="00BC3FEF"/>
    <w:rsid w:val="00BC45B5"/>
    <w:rsid w:val="00BC58F0"/>
    <w:rsid w:val="00BC5A1C"/>
    <w:rsid w:val="00BC5EAD"/>
    <w:rsid w:val="00BC6C93"/>
    <w:rsid w:val="00BC7FB0"/>
    <w:rsid w:val="00BD0B3E"/>
    <w:rsid w:val="00BD168C"/>
    <w:rsid w:val="00BD338C"/>
    <w:rsid w:val="00BD4686"/>
    <w:rsid w:val="00BD6284"/>
    <w:rsid w:val="00BD64E2"/>
    <w:rsid w:val="00BD7A04"/>
    <w:rsid w:val="00BE0F7F"/>
    <w:rsid w:val="00BE1749"/>
    <w:rsid w:val="00BE4790"/>
    <w:rsid w:val="00BE6A4E"/>
    <w:rsid w:val="00BE7696"/>
    <w:rsid w:val="00BE7744"/>
    <w:rsid w:val="00BF1CD8"/>
    <w:rsid w:val="00BF1FA0"/>
    <w:rsid w:val="00BF200E"/>
    <w:rsid w:val="00BF21D8"/>
    <w:rsid w:val="00BF24FE"/>
    <w:rsid w:val="00BF2BAA"/>
    <w:rsid w:val="00BF47FF"/>
    <w:rsid w:val="00BF75AC"/>
    <w:rsid w:val="00BF7F80"/>
    <w:rsid w:val="00C006CD"/>
    <w:rsid w:val="00C00897"/>
    <w:rsid w:val="00C00E5E"/>
    <w:rsid w:val="00C027AB"/>
    <w:rsid w:val="00C03AB1"/>
    <w:rsid w:val="00C04393"/>
    <w:rsid w:val="00C046DC"/>
    <w:rsid w:val="00C0482B"/>
    <w:rsid w:val="00C048FC"/>
    <w:rsid w:val="00C05B51"/>
    <w:rsid w:val="00C065A6"/>
    <w:rsid w:val="00C07505"/>
    <w:rsid w:val="00C1004C"/>
    <w:rsid w:val="00C127B1"/>
    <w:rsid w:val="00C1302E"/>
    <w:rsid w:val="00C15BC8"/>
    <w:rsid w:val="00C16723"/>
    <w:rsid w:val="00C16E17"/>
    <w:rsid w:val="00C17025"/>
    <w:rsid w:val="00C17A88"/>
    <w:rsid w:val="00C208AA"/>
    <w:rsid w:val="00C21A22"/>
    <w:rsid w:val="00C236FC"/>
    <w:rsid w:val="00C237F0"/>
    <w:rsid w:val="00C2467A"/>
    <w:rsid w:val="00C25A76"/>
    <w:rsid w:val="00C26A4D"/>
    <w:rsid w:val="00C27E10"/>
    <w:rsid w:val="00C3116C"/>
    <w:rsid w:val="00C3217E"/>
    <w:rsid w:val="00C32B26"/>
    <w:rsid w:val="00C32CB5"/>
    <w:rsid w:val="00C33630"/>
    <w:rsid w:val="00C33E93"/>
    <w:rsid w:val="00C37B88"/>
    <w:rsid w:val="00C4112F"/>
    <w:rsid w:val="00C417B0"/>
    <w:rsid w:val="00C42E4F"/>
    <w:rsid w:val="00C43F4D"/>
    <w:rsid w:val="00C44ACF"/>
    <w:rsid w:val="00C44BCF"/>
    <w:rsid w:val="00C44DE2"/>
    <w:rsid w:val="00C45036"/>
    <w:rsid w:val="00C4664B"/>
    <w:rsid w:val="00C47BA5"/>
    <w:rsid w:val="00C500C0"/>
    <w:rsid w:val="00C5390D"/>
    <w:rsid w:val="00C551D2"/>
    <w:rsid w:val="00C55C09"/>
    <w:rsid w:val="00C56BE9"/>
    <w:rsid w:val="00C57E22"/>
    <w:rsid w:val="00C60172"/>
    <w:rsid w:val="00C607CD"/>
    <w:rsid w:val="00C624F2"/>
    <w:rsid w:val="00C62A95"/>
    <w:rsid w:val="00C62C2D"/>
    <w:rsid w:val="00C62F77"/>
    <w:rsid w:val="00C65846"/>
    <w:rsid w:val="00C6593A"/>
    <w:rsid w:val="00C66A34"/>
    <w:rsid w:val="00C670B3"/>
    <w:rsid w:val="00C6730A"/>
    <w:rsid w:val="00C6778F"/>
    <w:rsid w:val="00C67D22"/>
    <w:rsid w:val="00C70B61"/>
    <w:rsid w:val="00C710FE"/>
    <w:rsid w:val="00C711EC"/>
    <w:rsid w:val="00C73E9C"/>
    <w:rsid w:val="00C762E6"/>
    <w:rsid w:val="00C76368"/>
    <w:rsid w:val="00C77C65"/>
    <w:rsid w:val="00C8027F"/>
    <w:rsid w:val="00C802E4"/>
    <w:rsid w:val="00C80D6D"/>
    <w:rsid w:val="00C84540"/>
    <w:rsid w:val="00C847DD"/>
    <w:rsid w:val="00C85F91"/>
    <w:rsid w:val="00C868E1"/>
    <w:rsid w:val="00C91914"/>
    <w:rsid w:val="00C91D69"/>
    <w:rsid w:val="00C91E3B"/>
    <w:rsid w:val="00C9413A"/>
    <w:rsid w:val="00C94874"/>
    <w:rsid w:val="00C94F9A"/>
    <w:rsid w:val="00C95E43"/>
    <w:rsid w:val="00C966B6"/>
    <w:rsid w:val="00C96B24"/>
    <w:rsid w:val="00CA09B7"/>
    <w:rsid w:val="00CA0DC3"/>
    <w:rsid w:val="00CA516E"/>
    <w:rsid w:val="00CA69C5"/>
    <w:rsid w:val="00CA787E"/>
    <w:rsid w:val="00CA7FCD"/>
    <w:rsid w:val="00CB0C23"/>
    <w:rsid w:val="00CB1A59"/>
    <w:rsid w:val="00CB263D"/>
    <w:rsid w:val="00CB26E5"/>
    <w:rsid w:val="00CB4104"/>
    <w:rsid w:val="00CB4AA0"/>
    <w:rsid w:val="00CB4CA0"/>
    <w:rsid w:val="00CB5809"/>
    <w:rsid w:val="00CB6C90"/>
    <w:rsid w:val="00CB7806"/>
    <w:rsid w:val="00CC05A9"/>
    <w:rsid w:val="00CC11AC"/>
    <w:rsid w:val="00CC26E9"/>
    <w:rsid w:val="00CC45FC"/>
    <w:rsid w:val="00CC4DC0"/>
    <w:rsid w:val="00CC534F"/>
    <w:rsid w:val="00CC5D88"/>
    <w:rsid w:val="00CC5E12"/>
    <w:rsid w:val="00CC71F2"/>
    <w:rsid w:val="00CD21CE"/>
    <w:rsid w:val="00CD340C"/>
    <w:rsid w:val="00CD34E8"/>
    <w:rsid w:val="00CD3699"/>
    <w:rsid w:val="00CD6C80"/>
    <w:rsid w:val="00CD7232"/>
    <w:rsid w:val="00CD7631"/>
    <w:rsid w:val="00CD7862"/>
    <w:rsid w:val="00CE0245"/>
    <w:rsid w:val="00CE0A44"/>
    <w:rsid w:val="00CE1F20"/>
    <w:rsid w:val="00CE332D"/>
    <w:rsid w:val="00CE499A"/>
    <w:rsid w:val="00CE4B5D"/>
    <w:rsid w:val="00CE5006"/>
    <w:rsid w:val="00CE5021"/>
    <w:rsid w:val="00CE5E9B"/>
    <w:rsid w:val="00CF11DE"/>
    <w:rsid w:val="00CF1670"/>
    <w:rsid w:val="00CF22A9"/>
    <w:rsid w:val="00CF4544"/>
    <w:rsid w:val="00CF4719"/>
    <w:rsid w:val="00CF4B8F"/>
    <w:rsid w:val="00CF53E0"/>
    <w:rsid w:val="00CF5A41"/>
    <w:rsid w:val="00CF611A"/>
    <w:rsid w:val="00CF6196"/>
    <w:rsid w:val="00CF6998"/>
    <w:rsid w:val="00CF6E0F"/>
    <w:rsid w:val="00D02522"/>
    <w:rsid w:val="00D037A0"/>
    <w:rsid w:val="00D040A1"/>
    <w:rsid w:val="00D0557C"/>
    <w:rsid w:val="00D05AC7"/>
    <w:rsid w:val="00D07C98"/>
    <w:rsid w:val="00D11101"/>
    <w:rsid w:val="00D1159A"/>
    <w:rsid w:val="00D118F2"/>
    <w:rsid w:val="00D12089"/>
    <w:rsid w:val="00D12440"/>
    <w:rsid w:val="00D13F0B"/>
    <w:rsid w:val="00D144F0"/>
    <w:rsid w:val="00D15CA0"/>
    <w:rsid w:val="00D16317"/>
    <w:rsid w:val="00D204B1"/>
    <w:rsid w:val="00D20B1F"/>
    <w:rsid w:val="00D210EF"/>
    <w:rsid w:val="00D21B69"/>
    <w:rsid w:val="00D223BD"/>
    <w:rsid w:val="00D22B20"/>
    <w:rsid w:val="00D22CFA"/>
    <w:rsid w:val="00D23269"/>
    <w:rsid w:val="00D24BCC"/>
    <w:rsid w:val="00D24E1B"/>
    <w:rsid w:val="00D24FEB"/>
    <w:rsid w:val="00D262EE"/>
    <w:rsid w:val="00D26628"/>
    <w:rsid w:val="00D26FDC"/>
    <w:rsid w:val="00D31CB5"/>
    <w:rsid w:val="00D32699"/>
    <w:rsid w:val="00D3293D"/>
    <w:rsid w:val="00D34197"/>
    <w:rsid w:val="00D351B4"/>
    <w:rsid w:val="00D35407"/>
    <w:rsid w:val="00D35CAC"/>
    <w:rsid w:val="00D36431"/>
    <w:rsid w:val="00D37F52"/>
    <w:rsid w:val="00D40462"/>
    <w:rsid w:val="00D4271C"/>
    <w:rsid w:val="00D42B39"/>
    <w:rsid w:val="00D4331A"/>
    <w:rsid w:val="00D43649"/>
    <w:rsid w:val="00D447F2"/>
    <w:rsid w:val="00D45C2B"/>
    <w:rsid w:val="00D464BA"/>
    <w:rsid w:val="00D46910"/>
    <w:rsid w:val="00D46FB5"/>
    <w:rsid w:val="00D5197B"/>
    <w:rsid w:val="00D520B8"/>
    <w:rsid w:val="00D54940"/>
    <w:rsid w:val="00D57416"/>
    <w:rsid w:val="00D57508"/>
    <w:rsid w:val="00D57797"/>
    <w:rsid w:val="00D604D4"/>
    <w:rsid w:val="00D613C9"/>
    <w:rsid w:val="00D617DC"/>
    <w:rsid w:val="00D619AB"/>
    <w:rsid w:val="00D61BA5"/>
    <w:rsid w:val="00D63406"/>
    <w:rsid w:val="00D6353F"/>
    <w:rsid w:val="00D63FDE"/>
    <w:rsid w:val="00D64FB3"/>
    <w:rsid w:val="00D669E4"/>
    <w:rsid w:val="00D66C82"/>
    <w:rsid w:val="00D66E97"/>
    <w:rsid w:val="00D67F35"/>
    <w:rsid w:val="00D71133"/>
    <w:rsid w:val="00D72709"/>
    <w:rsid w:val="00D72E0A"/>
    <w:rsid w:val="00D73F44"/>
    <w:rsid w:val="00D745CC"/>
    <w:rsid w:val="00D76294"/>
    <w:rsid w:val="00D76661"/>
    <w:rsid w:val="00D80EF5"/>
    <w:rsid w:val="00D810B6"/>
    <w:rsid w:val="00D828CA"/>
    <w:rsid w:val="00D8626F"/>
    <w:rsid w:val="00D864DF"/>
    <w:rsid w:val="00D907ED"/>
    <w:rsid w:val="00D90A98"/>
    <w:rsid w:val="00D90D67"/>
    <w:rsid w:val="00D93865"/>
    <w:rsid w:val="00D94809"/>
    <w:rsid w:val="00D952BB"/>
    <w:rsid w:val="00D97A0C"/>
    <w:rsid w:val="00D97BEF"/>
    <w:rsid w:val="00DA06A5"/>
    <w:rsid w:val="00DA0934"/>
    <w:rsid w:val="00DA0A6B"/>
    <w:rsid w:val="00DA0F21"/>
    <w:rsid w:val="00DA2D00"/>
    <w:rsid w:val="00DA3364"/>
    <w:rsid w:val="00DA33B0"/>
    <w:rsid w:val="00DA4687"/>
    <w:rsid w:val="00DA5DAD"/>
    <w:rsid w:val="00DA6812"/>
    <w:rsid w:val="00DA6C84"/>
    <w:rsid w:val="00DA6D28"/>
    <w:rsid w:val="00DA7180"/>
    <w:rsid w:val="00DA7BD8"/>
    <w:rsid w:val="00DB04D5"/>
    <w:rsid w:val="00DB0A98"/>
    <w:rsid w:val="00DB0C0D"/>
    <w:rsid w:val="00DB1469"/>
    <w:rsid w:val="00DB1A6C"/>
    <w:rsid w:val="00DB1E16"/>
    <w:rsid w:val="00DB214E"/>
    <w:rsid w:val="00DB2722"/>
    <w:rsid w:val="00DB2979"/>
    <w:rsid w:val="00DB3C36"/>
    <w:rsid w:val="00DB4217"/>
    <w:rsid w:val="00DB42ED"/>
    <w:rsid w:val="00DB4B2C"/>
    <w:rsid w:val="00DB4F91"/>
    <w:rsid w:val="00DB5383"/>
    <w:rsid w:val="00DB598F"/>
    <w:rsid w:val="00DB64F1"/>
    <w:rsid w:val="00DB65C3"/>
    <w:rsid w:val="00DB7608"/>
    <w:rsid w:val="00DC289F"/>
    <w:rsid w:val="00DC6091"/>
    <w:rsid w:val="00DD1278"/>
    <w:rsid w:val="00DD19A5"/>
    <w:rsid w:val="00DD2057"/>
    <w:rsid w:val="00DD2852"/>
    <w:rsid w:val="00DD3F71"/>
    <w:rsid w:val="00DD3FFB"/>
    <w:rsid w:val="00DD4C25"/>
    <w:rsid w:val="00DD53DA"/>
    <w:rsid w:val="00DD59DC"/>
    <w:rsid w:val="00DD5E99"/>
    <w:rsid w:val="00DD7303"/>
    <w:rsid w:val="00DD77F3"/>
    <w:rsid w:val="00DE08B0"/>
    <w:rsid w:val="00DE329A"/>
    <w:rsid w:val="00DE4584"/>
    <w:rsid w:val="00DE6774"/>
    <w:rsid w:val="00DE6F3F"/>
    <w:rsid w:val="00DE7280"/>
    <w:rsid w:val="00DE793C"/>
    <w:rsid w:val="00DF30B4"/>
    <w:rsid w:val="00DF3738"/>
    <w:rsid w:val="00DF4653"/>
    <w:rsid w:val="00DF4BC3"/>
    <w:rsid w:val="00DF5A3B"/>
    <w:rsid w:val="00DF5B29"/>
    <w:rsid w:val="00DF7A63"/>
    <w:rsid w:val="00E00D5E"/>
    <w:rsid w:val="00E03098"/>
    <w:rsid w:val="00E0524B"/>
    <w:rsid w:val="00E06DE9"/>
    <w:rsid w:val="00E074DD"/>
    <w:rsid w:val="00E0777A"/>
    <w:rsid w:val="00E1022B"/>
    <w:rsid w:val="00E10269"/>
    <w:rsid w:val="00E109D9"/>
    <w:rsid w:val="00E12888"/>
    <w:rsid w:val="00E12974"/>
    <w:rsid w:val="00E12B5B"/>
    <w:rsid w:val="00E13311"/>
    <w:rsid w:val="00E13B60"/>
    <w:rsid w:val="00E14556"/>
    <w:rsid w:val="00E145F2"/>
    <w:rsid w:val="00E15F29"/>
    <w:rsid w:val="00E160E4"/>
    <w:rsid w:val="00E1668B"/>
    <w:rsid w:val="00E168DD"/>
    <w:rsid w:val="00E171DC"/>
    <w:rsid w:val="00E20461"/>
    <w:rsid w:val="00E21784"/>
    <w:rsid w:val="00E21914"/>
    <w:rsid w:val="00E22007"/>
    <w:rsid w:val="00E22755"/>
    <w:rsid w:val="00E24033"/>
    <w:rsid w:val="00E25692"/>
    <w:rsid w:val="00E268B0"/>
    <w:rsid w:val="00E26B56"/>
    <w:rsid w:val="00E27371"/>
    <w:rsid w:val="00E27579"/>
    <w:rsid w:val="00E27E78"/>
    <w:rsid w:val="00E3102B"/>
    <w:rsid w:val="00E31F2A"/>
    <w:rsid w:val="00E32AC0"/>
    <w:rsid w:val="00E345C9"/>
    <w:rsid w:val="00E347C0"/>
    <w:rsid w:val="00E35ADF"/>
    <w:rsid w:val="00E35FEE"/>
    <w:rsid w:val="00E40613"/>
    <w:rsid w:val="00E417B2"/>
    <w:rsid w:val="00E41F6E"/>
    <w:rsid w:val="00E42564"/>
    <w:rsid w:val="00E42899"/>
    <w:rsid w:val="00E4426B"/>
    <w:rsid w:val="00E44A05"/>
    <w:rsid w:val="00E44D9C"/>
    <w:rsid w:val="00E4630A"/>
    <w:rsid w:val="00E46697"/>
    <w:rsid w:val="00E523EE"/>
    <w:rsid w:val="00E53B06"/>
    <w:rsid w:val="00E53B3F"/>
    <w:rsid w:val="00E547B4"/>
    <w:rsid w:val="00E54DB8"/>
    <w:rsid w:val="00E60C57"/>
    <w:rsid w:val="00E6355E"/>
    <w:rsid w:val="00E6386F"/>
    <w:rsid w:val="00E643AE"/>
    <w:rsid w:val="00E66194"/>
    <w:rsid w:val="00E7148E"/>
    <w:rsid w:val="00E71E60"/>
    <w:rsid w:val="00E76B23"/>
    <w:rsid w:val="00E803A4"/>
    <w:rsid w:val="00E812D0"/>
    <w:rsid w:val="00E8186D"/>
    <w:rsid w:val="00E818DE"/>
    <w:rsid w:val="00E82508"/>
    <w:rsid w:val="00E8278E"/>
    <w:rsid w:val="00E831E7"/>
    <w:rsid w:val="00E83382"/>
    <w:rsid w:val="00E83AC0"/>
    <w:rsid w:val="00E84227"/>
    <w:rsid w:val="00E84BC1"/>
    <w:rsid w:val="00E85140"/>
    <w:rsid w:val="00E856F4"/>
    <w:rsid w:val="00E86EFE"/>
    <w:rsid w:val="00E929F3"/>
    <w:rsid w:val="00E92C25"/>
    <w:rsid w:val="00E92C92"/>
    <w:rsid w:val="00E92D57"/>
    <w:rsid w:val="00E94B02"/>
    <w:rsid w:val="00E95493"/>
    <w:rsid w:val="00E95E5B"/>
    <w:rsid w:val="00E969AF"/>
    <w:rsid w:val="00EA03A3"/>
    <w:rsid w:val="00EA21E6"/>
    <w:rsid w:val="00EA331D"/>
    <w:rsid w:val="00EA332D"/>
    <w:rsid w:val="00EA390C"/>
    <w:rsid w:val="00EA40F9"/>
    <w:rsid w:val="00EA4A67"/>
    <w:rsid w:val="00EA7532"/>
    <w:rsid w:val="00EA756C"/>
    <w:rsid w:val="00EB1422"/>
    <w:rsid w:val="00EB1634"/>
    <w:rsid w:val="00EB27E2"/>
    <w:rsid w:val="00EB2D55"/>
    <w:rsid w:val="00EB30A4"/>
    <w:rsid w:val="00EB3D7F"/>
    <w:rsid w:val="00EB441C"/>
    <w:rsid w:val="00EB4C65"/>
    <w:rsid w:val="00EB519B"/>
    <w:rsid w:val="00EB52C4"/>
    <w:rsid w:val="00EB5309"/>
    <w:rsid w:val="00EB669C"/>
    <w:rsid w:val="00EB6914"/>
    <w:rsid w:val="00EB770C"/>
    <w:rsid w:val="00EB7B50"/>
    <w:rsid w:val="00EC0903"/>
    <w:rsid w:val="00EC11F3"/>
    <w:rsid w:val="00EC172C"/>
    <w:rsid w:val="00EC2C82"/>
    <w:rsid w:val="00EC54CA"/>
    <w:rsid w:val="00EC62AD"/>
    <w:rsid w:val="00EC6AFB"/>
    <w:rsid w:val="00EC7BD7"/>
    <w:rsid w:val="00ED0429"/>
    <w:rsid w:val="00ED0D62"/>
    <w:rsid w:val="00ED1073"/>
    <w:rsid w:val="00ED1B8D"/>
    <w:rsid w:val="00ED308E"/>
    <w:rsid w:val="00ED3AA8"/>
    <w:rsid w:val="00ED42C8"/>
    <w:rsid w:val="00ED6473"/>
    <w:rsid w:val="00ED74C8"/>
    <w:rsid w:val="00EE126B"/>
    <w:rsid w:val="00EE229D"/>
    <w:rsid w:val="00EE31E7"/>
    <w:rsid w:val="00EE37C8"/>
    <w:rsid w:val="00EE3B41"/>
    <w:rsid w:val="00EE69CD"/>
    <w:rsid w:val="00EE7C19"/>
    <w:rsid w:val="00EE7C89"/>
    <w:rsid w:val="00EE7CEF"/>
    <w:rsid w:val="00EF1C95"/>
    <w:rsid w:val="00EF49F7"/>
    <w:rsid w:val="00EF5A9F"/>
    <w:rsid w:val="00EF623F"/>
    <w:rsid w:val="00EF6A5E"/>
    <w:rsid w:val="00F00618"/>
    <w:rsid w:val="00F01021"/>
    <w:rsid w:val="00F0170C"/>
    <w:rsid w:val="00F01DE0"/>
    <w:rsid w:val="00F030E5"/>
    <w:rsid w:val="00F04124"/>
    <w:rsid w:val="00F04ACB"/>
    <w:rsid w:val="00F04B11"/>
    <w:rsid w:val="00F04CC8"/>
    <w:rsid w:val="00F04CE8"/>
    <w:rsid w:val="00F05497"/>
    <w:rsid w:val="00F057D3"/>
    <w:rsid w:val="00F05C43"/>
    <w:rsid w:val="00F06BA2"/>
    <w:rsid w:val="00F07D64"/>
    <w:rsid w:val="00F10488"/>
    <w:rsid w:val="00F10F70"/>
    <w:rsid w:val="00F118A2"/>
    <w:rsid w:val="00F118D3"/>
    <w:rsid w:val="00F1330A"/>
    <w:rsid w:val="00F1488F"/>
    <w:rsid w:val="00F14FA3"/>
    <w:rsid w:val="00F15D04"/>
    <w:rsid w:val="00F1653C"/>
    <w:rsid w:val="00F165F3"/>
    <w:rsid w:val="00F16EC7"/>
    <w:rsid w:val="00F20572"/>
    <w:rsid w:val="00F21F26"/>
    <w:rsid w:val="00F2243E"/>
    <w:rsid w:val="00F22955"/>
    <w:rsid w:val="00F229B9"/>
    <w:rsid w:val="00F232B6"/>
    <w:rsid w:val="00F251A5"/>
    <w:rsid w:val="00F25927"/>
    <w:rsid w:val="00F2608A"/>
    <w:rsid w:val="00F26471"/>
    <w:rsid w:val="00F26F53"/>
    <w:rsid w:val="00F30E2C"/>
    <w:rsid w:val="00F31928"/>
    <w:rsid w:val="00F35124"/>
    <w:rsid w:val="00F35901"/>
    <w:rsid w:val="00F35DAA"/>
    <w:rsid w:val="00F36146"/>
    <w:rsid w:val="00F36532"/>
    <w:rsid w:val="00F37C14"/>
    <w:rsid w:val="00F409DC"/>
    <w:rsid w:val="00F41443"/>
    <w:rsid w:val="00F41C8D"/>
    <w:rsid w:val="00F41FD9"/>
    <w:rsid w:val="00F44DB8"/>
    <w:rsid w:val="00F45CE6"/>
    <w:rsid w:val="00F47A8B"/>
    <w:rsid w:val="00F51511"/>
    <w:rsid w:val="00F518AF"/>
    <w:rsid w:val="00F51A31"/>
    <w:rsid w:val="00F5238D"/>
    <w:rsid w:val="00F5306E"/>
    <w:rsid w:val="00F536DB"/>
    <w:rsid w:val="00F545ED"/>
    <w:rsid w:val="00F55953"/>
    <w:rsid w:val="00F55BC4"/>
    <w:rsid w:val="00F5636A"/>
    <w:rsid w:val="00F56BCD"/>
    <w:rsid w:val="00F60117"/>
    <w:rsid w:val="00F60367"/>
    <w:rsid w:val="00F60422"/>
    <w:rsid w:val="00F64557"/>
    <w:rsid w:val="00F651A5"/>
    <w:rsid w:val="00F65434"/>
    <w:rsid w:val="00F66276"/>
    <w:rsid w:val="00F66322"/>
    <w:rsid w:val="00F66BC9"/>
    <w:rsid w:val="00F66E37"/>
    <w:rsid w:val="00F66FDF"/>
    <w:rsid w:val="00F673F4"/>
    <w:rsid w:val="00F706B2"/>
    <w:rsid w:val="00F70836"/>
    <w:rsid w:val="00F72662"/>
    <w:rsid w:val="00F72932"/>
    <w:rsid w:val="00F7299B"/>
    <w:rsid w:val="00F752C6"/>
    <w:rsid w:val="00F755EC"/>
    <w:rsid w:val="00F760FC"/>
    <w:rsid w:val="00F76242"/>
    <w:rsid w:val="00F76D5D"/>
    <w:rsid w:val="00F76D65"/>
    <w:rsid w:val="00F80269"/>
    <w:rsid w:val="00F802D6"/>
    <w:rsid w:val="00F81A8C"/>
    <w:rsid w:val="00F81B91"/>
    <w:rsid w:val="00F81CF4"/>
    <w:rsid w:val="00F82496"/>
    <w:rsid w:val="00F850D8"/>
    <w:rsid w:val="00F86A2A"/>
    <w:rsid w:val="00F87C36"/>
    <w:rsid w:val="00F87E37"/>
    <w:rsid w:val="00F903BE"/>
    <w:rsid w:val="00F905C5"/>
    <w:rsid w:val="00F90AF3"/>
    <w:rsid w:val="00F9146B"/>
    <w:rsid w:val="00F91CFF"/>
    <w:rsid w:val="00F963F9"/>
    <w:rsid w:val="00F9676A"/>
    <w:rsid w:val="00F96A6E"/>
    <w:rsid w:val="00F96E8C"/>
    <w:rsid w:val="00F973F7"/>
    <w:rsid w:val="00F97B19"/>
    <w:rsid w:val="00FA0785"/>
    <w:rsid w:val="00FA0DC3"/>
    <w:rsid w:val="00FA34F6"/>
    <w:rsid w:val="00FA4B4D"/>
    <w:rsid w:val="00FA4BB4"/>
    <w:rsid w:val="00FA4D1A"/>
    <w:rsid w:val="00FA4D89"/>
    <w:rsid w:val="00FA53C0"/>
    <w:rsid w:val="00FA545D"/>
    <w:rsid w:val="00FA6A29"/>
    <w:rsid w:val="00FA70AB"/>
    <w:rsid w:val="00FB17D1"/>
    <w:rsid w:val="00FB1B90"/>
    <w:rsid w:val="00FB1FEE"/>
    <w:rsid w:val="00FB2141"/>
    <w:rsid w:val="00FB3C8C"/>
    <w:rsid w:val="00FB4A60"/>
    <w:rsid w:val="00FB50EB"/>
    <w:rsid w:val="00FB63A5"/>
    <w:rsid w:val="00FB75DC"/>
    <w:rsid w:val="00FC01E2"/>
    <w:rsid w:val="00FC19C9"/>
    <w:rsid w:val="00FC1BE0"/>
    <w:rsid w:val="00FC2EB4"/>
    <w:rsid w:val="00FC3003"/>
    <w:rsid w:val="00FC60A9"/>
    <w:rsid w:val="00FC6EFF"/>
    <w:rsid w:val="00FC794D"/>
    <w:rsid w:val="00FD0EA8"/>
    <w:rsid w:val="00FD14AC"/>
    <w:rsid w:val="00FD1A80"/>
    <w:rsid w:val="00FD54AD"/>
    <w:rsid w:val="00FE00B6"/>
    <w:rsid w:val="00FE0E22"/>
    <w:rsid w:val="00FE16AE"/>
    <w:rsid w:val="00FE1E63"/>
    <w:rsid w:val="00FE2C9B"/>
    <w:rsid w:val="00FE3490"/>
    <w:rsid w:val="00FE50E7"/>
    <w:rsid w:val="00FE57A2"/>
    <w:rsid w:val="00FE6454"/>
    <w:rsid w:val="00FE67B5"/>
    <w:rsid w:val="00FF064D"/>
    <w:rsid w:val="00FF0F82"/>
    <w:rsid w:val="00FF10F5"/>
    <w:rsid w:val="00FF198C"/>
    <w:rsid w:val="00FF1E4C"/>
    <w:rsid w:val="00FF311F"/>
    <w:rsid w:val="00FF5863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35E473"/>
  <w15:docId w15:val="{95DA57FD-F21B-429D-BDF0-4240345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94F9A"/>
    <w:pPr>
      <w:keepNext/>
      <w:jc w:val="both"/>
      <w:outlineLvl w:val="0"/>
    </w:pPr>
    <w:rPr>
      <w:rFonts w:ascii="Bookman Old Style" w:hAnsi="Bookman Old Style"/>
      <w:b/>
      <w:bCs/>
      <w:sz w:val="22"/>
      <w:szCs w:val="22"/>
      <w:lang w:val="pt-BR"/>
    </w:rPr>
  </w:style>
  <w:style w:type="paragraph" w:styleId="Ttulo2">
    <w:name w:val="heading 2"/>
    <w:basedOn w:val="Normal"/>
    <w:next w:val="Normal"/>
    <w:link w:val="Ttulo2Car"/>
    <w:qFormat/>
    <w:rsid w:val="00C94F9A"/>
    <w:pPr>
      <w:keepNext/>
      <w:jc w:val="center"/>
      <w:outlineLvl w:val="1"/>
    </w:pPr>
    <w:rPr>
      <w:rFonts w:ascii="Arial" w:hAnsi="Arial" w:cs="Arial"/>
      <w:b/>
      <w:bCs/>
      <w:lang w:val="es-PE"/>
    </w:rPr>
  </w:style>
  <w:style w:type="paragraph" w:styleId="Ttulo3">
    <w:name w:val="heading 3"/>
    <w:basedOn w:val="Normal"/>
    <w:next w:val="Normal"/>
    <w:link w:val="Ttulo3Car"/>
    <w:qFormat/>
    <w:rsid w:val="00C94F9A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rsid w:val="00C94F9A"/>
    <w:pPr>
      <w:keepNext/>
      <w:outlineLvl w:val="3"/>
    </w:pPr>
    <w:rPr>
      <w:b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94F9A"/>
    <w:pPr>
      <w:keepNext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rsid w:val="00C94F9A"/>
    <w:pPr>
      <w:keepNext/>
      <w:outlineLvl w:val="5"/>
    </w:pPr>
    <w:rPr>
      <w:rFonts w:ascii="Arial" w:hAnsi="Arial" w:cs="Arial"/>
      <w:b/>
      <w:bCs/>
      <w:sz w:val="22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C94F9A"/>
    <w:pPr>
      <w:keepNext/>
      <w:ind w:right="-1"/>
      <w:jc w:val="both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C94F9A"/>
    <w:pPr>
      <w:keepNext/>
      <w:ind w:right="-1"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C94F9A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4F9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94F9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detextonormal">
    <w:name w:val="Body Text Indent"/>
    <w:basedOn w:val="Normal"/>
    <w:semiHidden/>
    <w:rsid w:val="00C94F9A"/>
    <w:pPr>
      <w:ind w:left="1134" w:hanging="426"/>
    </w:pPr>
    <w:rPr>
      <w:rFonts w:ascii="Arial Black" w:hAnsi="Arial Black"/>
      <w:sz w:val="28"/>
      <w:szCs w:val="20"/>
    </w:rPr>
  </w:style>
  <w:style w:type="paragraph" w:customStyle="1" w:styleId="xl28">
    <w:name w:val="xl28"/>
    <w:basedOn w:val="Normal"/>
    <w:rsid w:val="00C94F9A"/>
    <w:pPr>
      <w:spacing w:before="100" w:beforeAutospacing="1" w:after="100" w:afterAutospacing="1"/>
    </w:pPr>
  </w:style>
  <w:style w:type="paragraph" w:customStyle="1" w:styleId="Puesto">
    <w:name w:val="Puesto"/>
    <w:basedOn w:val="Normal"/>
    <w:link w:val="PuestoCar"/>
    <w:qFormat/>
    <w:rsid w:val="00C94F9A"/>
    <w:pPr>
      <w:jc w:val="center"/>
    </w:pPr>
    <w:rPr>
      <w:rFonts w:ascii="Arial" w:hAnsi="Arial" w:cs="Arial"/>
      <w:b/>
      <w:bCs/>
      <w:lang w:val="es-PE"/>
    </w:rPr>
  </w:style>
  <w:style w:type="paragraph" w:styleId="Textoindependiente">
    <w:name w:val="Body Text"/>
    <w:aliases w:val="Texto independiente Car Car,bt"/>
    <w:basedOn w:val="Normal"/>
    <w:semiHidden/>
    <w:rsid w:val="00C94F9A"/>
    <w:pPr>
      <w:jc w:val="center"/>
    </w:pPr>
    <w:rPr>
      <w:rFonts w:ascii="Arial" w:hAnsi="Arial" w:cs="Arial"/>
      <w:b/>
      <w:bCs/>
      <w:sz w:val="22"/>
      <w:lang w:val="es-PE"/>
    </w:rPr>
  </w:style>
  <w:style w:type="paragraph" w:styleId="Textoindependiente2">
    <w:name w:val="Body Text 2"/>
    <w:basedOn w:val="Normal"/>
    <w:semiHidden/>
    <w:rsid w:val="00C94F9A"/>
    <w:rPr>
      <w:rFonts w:ascii="Arial" w:hAnsi="Arial" w:cs="Arial"/>
      <w:sz w:val="22"/>
      <w:lang w:val="es-PE"/>
    </w:rPr>
  </w:style>
  <w:style w:type="paragraph" w:styleId="Textoindependiente3">
    <w:name w:val="Body Text 3"/>
    <w:basedOn w:val="Normal"/>
    <w:semiHidden/>
    <w:rsid w:val="00C94F9A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semiHidden/>
    <w:rsid w:val="00C94F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2detindependiente">
    <w:name w:val="Body Text Indent 2"/>
    <w:basedOn w:val="Normal"/>
    <w:link w:val="Sangra2detindependienteCar"/>
    <w:uiPriority w:val="99"/>
    <w:rsid w:val="00C94F9A"/>
    <w:pPr>
      <w:spacing w:before="120"/>
      <w:ind w:left="600"/>
      <w:jc w:val="both"/>
    </w:pPr>
    <w:rPr>
      <w:rFonts w:ascii="Arial" w:hAnsi="Arial" w:cs="Arial"/>
      <w:sz w:val="22"/>
      <w:szCs w:val="22"/>
    </w:rPr>
  </w:style>
  <w:style w:type="character" w:styleId="Hipervnculo">
    <w:name w:val="Hyperlink"/>
    <w:uiPriority w:val="99"/>
    <w:rsid w:val="00C94F9A"/>
    <w:rPr>
      <w:color w:val="0000FF"/>
      <w:u w:val="single"/>
    </w:rPr>
  </w:style>
  <w:style w:type="paragraph" w:styleId="Sangra3detindependiente">
    <w:name w:val="Body Text Indent 3"/>
    <w:basedOn w:val="Normal"/>
    <w:semiHidden/>
    <w:rsid w:val="00C94F9A"/>
    <w:pPr>
      <w:ind w:left="540"/>
      <w:jc w:val="both"/>
    </w:pPr>
    <w:rPr>
      <w:rFonts w:ascii="Arial" w:hAnsi="Arial" w:cs="Arial"/>
      <w:sz w:val="22"/>
    </w:rPr>
  </w:style>
  <w:style w:type="character" w:styleId="Nmerodepgina">
    <w:name w:val="page number"/>
    <w:basedOn w:val="Fuentedeprrafopredeter"/>
    <w:semiHidden/>
    <w:rsid w:val="00C94F9A"/>
  </w:style>
  <w:style w:type="paragraph" w:styleId="Saludo">
    <w:name w:val="Salutation"/>
    <w:basedOn w:val="Normal"/>
    <w:next w:val="Normal"/>
    <w:semiHidden/>
    <w:rsid w:val="00C94F9A"/>
  </w:style>
  <w:style w:type="paragraph" w:styleId="Textonotapie">
    <w:name w:val="footnote text"/>
    <w:basedOn w:val="Normal"/>
    <w:link w:val="TextonotapieCar"/>
    <w:semiHidden/>
    <w:rsid w:val="00C94F9A"/>
    <w:rPr>
      <w:kern w:val="28"/>
      <w:sz w:val="20"/>
      <w:szCs w:val="20"/>
      <w:lang w:val="es-ES_tradnl"/>
    </w:rPr>
  </w:style>
  <w:style w:type="paragraph" w:styleId="Textodebloque">
    <w:name w:val="Block Text"/>
    <w:basedOn w:val="Normal"/>
    <w:semiHidden/>
    <w:rsid w:val="00C94F9A"/>
    <w:pPr>
      <w:ind w:left="-142" w:right="51"/>
      <w:jc w:val="both"/>
    </w:pPr>
    <w:rPr>
      <w:rFonts w:ascii="Arial" w:hAnsi="Arial"/>
      <w:snapToGrid w:val="0"/>
      <w:sz w:val="20"/>
      <w:szCs w:val="20"/>
      <w:lang w:val="es-PE"/>
    </w:rPr>
  </w:style>
  <w:style w:type="character" w:styleId="Refdenotaalpie">
    <w:name w:val="footnote reference"/>
    <w:semiHidden/>
    <w:rsid w:val="00C94F9A"/>
    <w:rPr>
      <w:vertAlign w:val="superscript"/>
    </w:rPr>
  </w:style>
  <w:style w:type="paragraph" w:styleId="Textodeglobo">
    <w:name w:val="Balloon Text"/>
    <w:basedOn w:val="Normal"/>
    <w:semiHidden/>
    <w:rsid w:val="00C94F9A"/>
    <w:rPr>
      <w:rFonts w:ascii="Tahoma" w:hAnsi="Tahoma" w:cs="Tahoma"/>
      <w:sz w:val="16"/>
      <w:szCs w:val="16"/>
    </w:rPr>
  </w:style>
  <w:style w:type="paragraph" w:customStyle="1" w:styleId="xl44">
    <w:name w:val="xl44"/>
    <w:basedOn w:val="Normal"/>
    <w:rsid w:val="00C94F9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szCs w:val="20"/>
    </w:rPr>
  </w:style>
  <w:style w:type="table" w:styleId="Tablaconcuadrcula">
    <w:name w:val="Table Grid"/>
    <w:basedOn w:val="Tablanormal"/>
    <w:uiPriority w:val="59"/>
    <w:rsid w:val="00397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link w:val="Ttulo3"/>
    <w:rsid w:val="00554E6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EncabezadoCar">
    <w:name w:val="Encabezado Car"/>
    <w:link w:val="Encabezado"/>
    <w:rsid w:val="00554E60"/>
    <w:rPr>
      <w:lang w:val="es-ES" w:eastAsia="es-ES"/>
    </w:rPr>
  </w:style>
  <w:style w:type="character" w:customStyle="1" w:styleId="PuestoCar">
    <w:name w:val="Puesto Car"/>
    <w:link w:val="Puesto"/>
    <w:rsid w:val="00F04ACB"/>
    <w:rPr>
      <w:rFonts w:ascii="Arial" w:hAnsi="Arial" w:cs="Arial"/>
      <w:b/>
      <w:bCs/>
      <w:sz w:val="24"/>
      <w:szCs w:val="24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9DA"/>
  </w:style>
  <w:style w:type="character" w:customStyle="1" w:styleId="TextonotapieCar">
    <w:name w:val="Texto nota pie Car"/>
    <w:link w:val="Textonotapie"/>
    <w:semiHidden/>
    <w:rsid w:val="009678D7"/>
    <w:rPr>
      <w:kern w:val="28"/>
      <w:lang w:val="es-ES_tradnl"/>
    </w:rPr>
  </w:style>
  <w:style w:type="paragraph" w:styleId="Prrafodelista">
    <w:name w:val="List Paragraph"/>
    <w:basedOn w:val="Normal"/>
    <w:uiPriority w:val="34"/>
    <w:qFormat/>
    <w:rsid w:val="00967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tulo2Car">
    <w:name w:val="Título 2 Car"/>
    <w:link w:val="Ttulo2"/>
    <w:rsid w:val="009678D7"/>
    <w:rPr>
      <w:rFonts w:ascii="Arial" w:hAnsi="Arial" w:cs="Arial"/>
      <w:b/>
      <w:bCs/>
      <w:sz w:val="24"/>
      <w:szCs w:val="24"/>
      <w:lang w:val="es-PE"/>
    </w:rPr>
  </w:style>
  <w:style w:type="character" w:customStyle="1" w:styleId="Ttulo5Car">
    <w:name w:val="Título 5 Car"/>
    <w:link w:val="Ttulo5"/>
    <w:rsid w:val="008A02A6"/>
    <w:rPr>
      <w:sz w:val="24"/>
      <w:lang w:val="es-ES_tradnl"/>
    </w:rPr>
  </w:style>
  <w:style w:type="character" w:customStyle="1" w:styleId="Ttulo7Car">
    <w:name w:val="Título 7 Car"/>
    <w:link w:val="Ttulo7"/>
    <w:rsid w:val="008A02A6"/>
    <w:rPr>
      <w:rFonts w:ascii="Arial" w:hAnsi="Arial" w:cs="Arial"/>
      <w:b/>
      <w:bCs/>
      <w:sz w:val="22"/>
      <w:szCs w:val="24"/>
    </w:rPr>
  </w:style>
  <w:style w:type="character" w:customStyle="1" w:styleId="Ttulo9Car">
    <w:name w:val="Título 9 Car"/>
    <w:link w:val="Ttulo9"/>
    <w:rsid w:val="008A02A6"/>
    <w:rPr>
      <w:rFonts w:ascii="Arial" w:hAnsi="Arial" w:cs="Arial"/>
      <w:sz w:val="22"/>
      <w:szCs w:val="24"/>
      <w:u w:val="single"/>
    </w:rPr>
  </w:style>
  <w:style w:type="character" w:customStyle="1" w:styleId="Sangra2detindependienteCar">
    <w:name w:val="Sangría 2 de t. independiente Car"/>
    <w:link w:val="Sangra2detindependiente"/>
    <w:uiPriority w:val="99"/>
    <w:rsid w:val="0096582E"/>
    <w:rPr>
      <w:rFonts w:ascii="Arial" w:hAnsi="Arial" w:cs="Arial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BF24F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can.com.pe/centro-de-descargas/?cat_id=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mv.gob.pe/Frm_VerPublicacion?data=21F6B4741320CE00DA66A755414E074565401A138DB5F3C16D5DC79156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v.gob.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lma\AppData\Roaming\Microsoft\Plantillas\Plantilla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E97B-EE23-465F-B91F-952C228C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PlantillaOficio</Template>
  <TotalTime>38</TotalTime>
  <Pages>7</Pages>
  <Words>2669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SMV</Company>
  <LinksUpToDate>false</LinksUpToDate>
  <CharactersWithSpaces>17319</CharactersWithSpaces>
  <SharedDoc>false</SharedDoc>
  <HLinks>
    <vt:vector size="12" baseType="variant"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http://www.smv.gob.pe/Frm_VerPublicacion?data=21F6B4741320CE00DA66A755414E074565401A138DB5F3C16D5DC79156</vt:lpwstr>
      </vt:variant>
      <vt:variant>
        <vt:lpwstr/>
      </vt:variant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http://www.smv.gob.pe/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Barzola, Karen</dc:creator>
  <cp:keywords/>
  <cp:lastModifiedBy>Saenz Picasso, Teresa</cp:lastModifiedBy>
  <cp:revision>4</cp:revision>
  <cp:lastPrinted>2019-11-29T20:47:00Z</cp:lastPrinted>
  <dcterms:created xsi:type="dcterms:W3CDTF">2019-11-29T20:49:00Z</dcterms:created>
  <dcterms:modified xsi:type="dcterms:W3CDTF">2019-11-30T00:25:00Z</dcterms:modified>
</cp:coreProperties>
</file>